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B3F9" w14:textId="77777777" w:rsidR="00C67613" w:rsidRDefault="007B0132" w:rsidP="00C67613">
      <w:pPr>
        <w:shd w:val="clear" w:color="auto" w:fill="FFFFFF"/>
        <w:spacing w:after="200" w:line="255" w:lineRule="atLeast"/>
        <w:jc w:val="center"/>
        <w:rPr>
          <w:rFonts w:ascii="Calibri" w:eastAsia="微软雅黑" w:hAnsi="Calibri" w:cs="Calibri"/>
          <w:b/>
          <w:bCs/>
          <w:iCs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D61D81" wp14:editId="7F4BE899">
            <wp:simplePos x="0" y="0"/>
            <wp:positionH relativeFrom="column">
              <wp:posOffset>2360930</wp:posOffset>
            </wp:positionH>
            <wp:positionV relativeFrom="paragraph">
              <wp:posOffset>158750</wp:posOffset>
            </wp:positionV>
            <wp:extent cx="1367790" cy="1797050"/>
            <wp:effectExtent l="0" t="0" r="381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D42E8" w14:textId="77777777" w:rsidR="00C67613" w:rsidRPr="00D442E4" w:rsidRDefault="00C67613" w:rsidP="00C67613">
      <w:pPr>
        <w:shd w:val="clear" w:color="auto" w:fill="FFFFFF"/>
        <w:spacing w:after="200" w:line="255" w:lineRule="atLeast"/>
        <w:rPr>
          <w:rFonts w:ascii="Calibri" w:eastAsia="微软雅黑" w:hAnsi="Calibri" w:cs="Calibri"/>
          <w:b/>
          <w:bCs/>
          <w:iCs/>
          <w:sz w:val="22"/>
          <w:szCs w:val="20"/>
        </w:rPr>
      </w:pPr>
    </w:p>
    <w:p w14:paraId="3A0C840A" w14:textId="77777777" w:rsidR="00C67613" w:rsidRDefault="00C67613" w:rsidP="00C67613">
      <w:pPr>
        <w:shd w:val="clear" w:color="auto" w:fill="FFFFFF"/>
        <w:spacing w:after="200" w:line="255" w:lineRule="atLeast"/>
        <w:rPr>
          <w:rFonts w:ascii="Calibri" w:eastAsia="微软雅黑" w:hAnsi="Calibri" w:cs="Calibri"/>
          <w:b/>
          <w:bCs/>
          <w:iCs/>
          <w:szCs w:val="21"/>
        </w:rPr>
      </w:pPr>
    </w:p>
    <w:p w14:paraId="0D325199" w14:textId="77777777" w:rsidR="00C67613" w:rsidRDefault="00C67613" w:rsidP="00C67613">
      <w:pPr>
        <w:shd w:val="clear" w:color="auto" w:fill="FFFFFF"/>
        <w:spacing w:after="200" w:line="255" w:lineRule="atLeast"/>
        <w:rPr>
          <w:rFonts w:ascii="Calibri" w:eastAsia="微软雅黑" w:hAnsi="Calibri" w:cs="Calibri"/>
          <w:b/>
          <w:bCs/>
          <w:iCs/>
          <w:szCs w:val="21"/>
        </w:rPr>
      </w:pPr>
    </w:p>
    <w:p w14:paraId="5E710584" w14:textId="77777777" w:rsidR="00C67613" w:rsidRDefault="00C67613" w:rsidP="00C67613">
      <w:pPr>
        <w:shd w:val="clear" w:color="auto" w:fill="FFFFFF"/>
        <w:spacing w:after="200" w:line="255" w:lineRule="atLeast"/>
        <w:rPr>
          <w:rFonts w:ascii="Calibri" w:eastAsia="微软雅黑" w:hAnsi="Calibri" w:cs="Calibri"/>
          <w:b/>
          <w:bCs/>
          <w:iCs/>
          <w:szCs w:val="21"/>
        </w:rPr>
      </w:pPr>
    </w:p>
    <w:p w14:paraId="30ED75DE" w14:textId="77777777" w:rsidR="00C67613" w:rsidRDefault="00C67613" w:rsidP="007973BD">
      <w:pPr>
        <w:shd w:val="clear" w:color="auto" w:fill="FFFFFF"/>
        <w:spacing w:line="255" w:lineRule="atLeast"/>
        <w:rPr>
          <w:rFonts w:ascii="Calibri" w:eastAsia="微软雅黑" w:hAnsi="Calibri" w:cs="Calibri"/>
          <w:b/>
          <w:bCs/>
          <w:iCs/>
          <w:szCs w:val="21"/>
        </w:rPr>
      </w:pPr>
    </w:p>
    <w:p w14:paraId="20CF821E" w14:textId="77777777" w:rsidR="007973BD" w:rsidRDefault="007973BD" w:rsidP="007973BD">
      <w:pPr>
        <w:shd w:val="clear" w:color="auto" w:fill="FFFFFF"/>
        <w:spacing w:line="255" w:lineRule="atLeast"/>
        <w:rPr>
          <w:rFonts w:ascii="Calibri" w:eastAsia="微软雅黑" w:hAnsi="Calibri" w:cs="Calibri"/>
          <w:b/>
          <w:bCs/>
          <w:iCs/>
          <w:szCs w:val="21"/>
        </w:rPr>
      </w:pPr>
    </w:p>
    <w:p w14:paraId="53BF82C7" w14:textId="77777777" w:rsidR="00C67613" w:rsidRPr="007973BD" w:rsidRDefault="007973BD" w:rsidP="00C67613">
      <w:pPr>
        <w:shd w:val="clear" w:color="auto" w:fill="FFFFFF"/>
        <w:spacing w:after="200" w:line="255" w:lineRule="atLeast"/>
        <w:jc w:val="center"/>
        <w:rPr>
          <w:rFonts w:ascii="Calibri" w:eastAsia="微软雅黑" w:hAnsi="Calibri" w:cs="Calibri"/>
          <w:b/>
          <w:i/>
          <w:color w:val="C0000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</w:pPr>
      <w:r w:rsidRPr="007973BD">
        <w:rPr>
          <w:rFonts w:ascii="Calibri" w:eastAsia="微软雅黑" w:hAnsi="Calibri" w:cs="Calibri" w:hint="eastAsia"/>
          <w:b/>
          <w:i/>
          <w:color w:val="C0000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7973BD">
        <w:rPr>
          <w:rFonts w:ascii="Calibri" w:eastAsia="微软雅黑" w:hAnsi="Calibri" w:cs="Calibri"/>
          <w:b/>
          <w:i/>
          <w:color w:val="C0000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utomotive Innovation—</w:t>
      </w:r>
      <w:r w:rsidR="00C67613" w:rsidRPr="007973BD">
        <w:rPr>
          <w:rFonts w:ascii="Calibri" w:eastAsia="微软雅黑" w:hAnsi="Calibri" w:cs="Calibri" w:hint="eastAsia"/>
          <w:b/>
          <w:i/>
          <w:color w:val="C0000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67613" w:rsidRPr="007973BD">
        <w:rPr>
          <w:rFonts w:ascii="Calibri" w:eastAsia="微软雅黑" w:hAnsi="Calibri" w:cs="Calibri"/>
          <w:b/>
          <w:i/>
          <w:color w:val="C0000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n International Academic Journal Exploring Automotive Innovation</w:t>
      </w:r>
    </w:p>
    <w:p w14:paraId="7508E9E0" w14:textId="3E2FAE28" w:rsidR="009E0699" w:rsidRPr="007973BD" w:rsidRDefault="007973BD" w:rsidP="007973BD">
      <w:pPr>
        <w:shd w:val="clear" w:color="auto" w:fill="FFFFFF"/>
        <w:spacing w:line="255" w:lineRule="atLeast"/>
        <w:jc w:val="left"/>
        <w:rPr>
          <w:rFonts w:ascii="Calibri" w:eastAsia="微软雅黑" w:hAnsi="Calibri" w:cs="Calibri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973BD">
        <w:rPr>
          <w:rFonts w:ascii="Calibri" w:eastAsia="微软雅黑" w:hAnsi="Calibri" w:cs="Calibri" w:hint="eastAsia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7973BD">
        <w:rPr>
          <w:rFonts w:ascii="Calibri" w:eastAsia="微软雅黑" w:hAnsi="Calibri" w:cs="Calibri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pen Access Article Index </w:t>
      </w:r>
      <w:r w:rsidRPr="007973BD">
        <w:rPr>
          <w:rFonts w:ascii="Calibri" w:eastAsia="微软雅黑" w:hAnsi="Calibri" w:cs="Calibri" w:hint="eastAsia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7973BD">
        <w:rPr>
          <w:rFonts w:ascii="Calibri" w:eastAsia="微软雅黑" w:hAnsi="Calibri" w:cs="Calibri" w:hint="eastAsia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973BD">
        <w:rPr>
          <w:rFonts w:ascii="Calibri" w:eastAsia="微软雅黑" w:hAnsi="Calibri" w:cs="Calibri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018-20</w:t>
      </w:r>
      <w:r w:rsidR="008E4D68">
        <w:rPr>
          <w:rFonts w:ascii="Calibri" w:eastAsia="微软雅黑" w:hAnsi="Calibri" w:cs="Calibri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C59B2">
        <w:rPr>
          <w:rFonts w:ascii="Calibri" w:eastAsia="微软雅黑" w:hAnsi="Calibri" w:cs="Calibri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973BD">
        <w:rPr>
          <w:rFonts w:ascii="Calibri" w:eastAsia="微软雅黑" w:hAnsi="Calibri" w:cs="Calibri" w:hint="eastAsia"/>
          <w:b/>
          <w:iCs/>
          <w:color w:val="C0000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）</w:t>
      </w:r>
    </w:p>
    <w:p w14:paraId="7201318E" w14:textId="77777777" w:rsidR="00C67613" w:rsidRPr="007973BD" w:rsidRDefault="00C67613" w:rsidP="00C67613">
      <w:pPr>
        <w:spacing w:beforeLines="100" w:before="312"/>
        <w:rPr>
          <w:rStyle w:val="a8"/>
          <w:rFonts w:ascii="Calibri" w:hAnsi="Calibri"/>
          <w:bCs w:val="0"/>
          <w:color w:val="C00000"/>
          <w:szCs w:val="21"/>
          <w:shd w:val="clear" w:color="auto" w:fill="FFFFFF"/>
        </w:rPr>
      </w:pPr>
      <w:r w:rsidRPr="007973BD">
        <w:rPr>
          <w:rStyle w:val="a8"/>
          <w:rFonts w:ascii="Calibri" w:hAnsi="Calibri"/>
          <w:bCs w:val="0"/>
          <w:color w:val="C00000"/>
          <w:szCs w:val="21"/>
          <w:shd w:val="clear" w:color="auto" w:fill="FFFFFF"/>
        </w:rPr>
        <w:t xml:space="preserve">About </w:t>
      </w:r>
      <w:r w:rsidRPr="007973BD">
        <w:rPr>
          <w:rStyle w:val="a8"/>
          <w:rFonts w:ascii="Calibri" w:hAnsi="Calibri"/>
          <w:bCs w:val="0"/>
          <w:i/>
          <w:iCs/>
          <w:color w:val="C00000"/>
          <w:szCs w:val="21"/>
          <w:shd w:val="clear" w:color="auto" w:fill="FFFFFF"/>
        </w:rPr>
        <w:t>Automotive Innovation</w:t>
      </w:r>
    </w:p>
    <w:p w14:paraId="7077166E" w14:textId="401F267F" w:rsidR="008E4D68" w:rsidRPr="008E4D68" w:rsidRDefault="008E4D68" w:rsidP="008E4D68">
      <w:pPr>
        <w:spacing w:beforeLines="50" w:before="156"/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</w:pPr>
      <w:r w:rsidRPr="008E4D68"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>Sponsored by China SAE and published globally via Springer Nature, Automotive Innovation aims to be a world-class journal that provides abundant sources of innovative findings for automotive engineers and scientists. The journal is published quarterly, ensuring high-quality papers satisfying international standards. With the editorial board consisting of world-renowned experts, it has attracted readers from 72 countries and regions. The highest download of a single article wins more than 1</w:t>
      </w:r>
      <w:r w:rsidR="00905AB1"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>7</w:t>
      </w:r>
      <w:r w:rsidRPr="008E4D68"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 xml:space="preserve">,000. </w:t>
      </w:r>
    </w:p>
    <w:p w14:paraId="4A17404E" w14:textId="28598C9E" w:rsidR="008E4D68" w:rsidRDefault="008E4D68" w:rsidP="008E4D68">
      <w:pPr>
        <w:spacing w:beforeLines="50" w:before="156"/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</w:pPr>
      <w:r w:rsidRPr="008E4D68"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>The journal is dedicated to the publication of peer-reviewed original papers and covers the principles, methodologies, designs, theoretical background</w:t>
      </w:r>
      <w:r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>,</w:t>
      </w:r>
      <w:r w:rsidRPr="008E4D68">
        <w:rPr>
          <w:rStyle w:val="a8"/>
          <w:rFonts w:ascii="Calibri" w:eastAsia="微软雅黑" w:hAnsi="Calibri" w:cs="Calibri"/>
          <w:b w:val="0"/>
          <w:bCs w:val="0"/>
          <w:sz w:val="18"/>
          <w:szCs w:val="18"/>
          <w:shd w:val="clear" w:color="auto" w:fill="FFFFFF"/>
        </w:rPr>
        <w:t xml:space="preserve"> and cutting-edge technologies in connection with the development of vehicle and mobility. The main topics include but are not limited to: energy-saving, electrification, intelligent and connected, safety and lightweight technologies.</w:t>
      </w:r>
    </w:p>
    <w:p w14:paraId="345541F1" w14:textId="790AD9C2" w:rsidR="00C67613" w:rsidRPr="008E4D68" w:rsidRDefault="00C67613" w:rsidP="008E4D68">
      <w:pPr>
        <w:spacing w:beforeLines="50" w:before="156"/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</w:pPr>
      <w:r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>Submission and</w:t>
      </w:r>
      <w:r w:rsidR="009E0699"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 xml:space="preserve"> online</w:t>
      </w:r>
      <w:r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 xml:space="preserve"> read</w:t>
      </w:r>
      <w:r w:rsidR="009E0699"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>ing</w:t>
      </w:r>
      <w:r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 xml:space="preserve"> </w:t>
      </w:r>
    </w:p>
    <w:p w14:paraId="45CF89D3" w14:textId="77777777" w:rsidR="00C67613" w:rsidRPr="00C67613" w:rsidRDefault="00C67613" w:rsidP="00C67613">
      <w:pPr>
        <w:spacing w:line="280" w:lineRule="exact"/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</w:pPr>
      <w:r w:rsidRPr="00C67613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www. ChinaSAEJournal.com.cn</w:t>
      </w:r>
    </w:p>
    <w:p w14:paraId="45E7443C" w14:textId="77777777" w:rsidR="00C67613" w:rsidRDefault="00267DA8" w:rsidP="00C67613">
      <w:pPr>
        <w:spacing w:line="280" w:lineRule="exact"/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</w:pPr>
      <w:hyperlink r:id="rId8" w:history="1">
        <w:r w:rsidR="00C67613" w:rsidRPr="00C67613">
          <w:rPr>
            <w:rStyle w:val="a8"/>
            <w:rFonts w:ascii="Calibri" w:eastAsia="微软雅黑" w:hAnsi="Calibri" w:cs="Calibri"/>
            <w:b w:val="0"/>
            <w:sz w:val="18"/>
            <w:szCs w:val="18"/>
            <w:shd w:val="clear" w:color="auto" w:fill="FFFFFF"/>
          </w:rPr>
          <w:t>www.springer.com/42154</w:t>
        </w:r>
      </w:hyperlink>
    </w:p>
    <w:p w14:paraId="543190CE" w14:textId="77777777" w:rsidR="00A1594D" w:rsidRPr="008E4D68" w:rsidRDefault="00A1594D" w:rsidP="009B3CFD">
      <w:pPr>
        <w:spacing w:beforeLines="50" w:before="156"/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</w:pPr>
      <w:r w:rsidRPr="008E4D68">
        <w:rPr>
          <w:rStyle w:val="a8"/>
          <w:rFonts w:ascii="Calibri" w:hAnsi="Calibri" w:hint="eastAsia"/>
          <w:bCs w:val="0"/>
          <w:color w:val="C00000"/>
          <w:sz w:val="18"/>
          <w:szCs w:val="18"/>
          <w:shd w:val="clear" w:color="auto" w:fill="FFFFFF"/>
        </w:rPr>
        <w:t>C</w:t>
      </w:r>
      <w:r w:rsidRPr="008E4D68">
        <w:rPr>
          <w:rStyle w:val="a8"/>
          <w:rFonts w:ascii="Calibri" w:hAnsi="Calibri"/>
          <w:bCs w:val="0"/>
          <w:color w:val="C00000"/>
          <w:sz w:val="18"/>
          <w:szCs w:val="18"/>
          <w:shd w:val="clear" w:color="auto" w:fill="FFFFFF"/>
        </w:rPr>
        <w:t>ontacts</w:t>
      </w:r>
    </w:p>
    <w:p w14:paraId="0C8D14F7" w14:textId="77777777" w:rsidR="009B3CFD" w:rsidRPr="009B3CFD" w:rsidRDefault="00176943" w:rsidP="009B3CFD">
      <w:pPr>
        <w:spacing w:line="280" w:lineRule="exact"/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</w:pPr>
      <w:r>
        <w:rPr>
          <w:rStyle w:val="a8"/>
          <w:rFonts w:ascii="Calibri" w:eastAsia="微软雅黑" w:hAnsi="Calibri" w:cs="Calibri" w:hint="eastAsia"/>
          <w:b w:val="0"/>
          <w:sz w:val="18"/>
          <w:szCs w:val="18"/>
          <w:shd w:val="clear" w:color="auto" w:fill="FFFFFF"/>
        </w:rPr>
        <w:t>j</w:t>
      </w:r>
      <w:r w:rsidR="009B3CFD" w:rsidRPr="009B3CFD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ai-editor@sae-china</w:t>
      </w:r>
      <w:r w:rsidR="009B3CFD" w:rsidRPr="009B3CFD">
        <w:rPr>
          <w:rStyle w:val="a8"/>
          <w:rFonts w:ascii="Calibri" w:eastAsia="微软雅黑" w:hAnsi="Calibri" w:cs="Calibri" w:hint="eastAsia"/>
          <w:b w:val="0"/>
          <w:sz w:val="18"/>
          <w:szCs w:val="18"/>
          <w:shd w:val="clear" w:color="auto" w:fill="FFFFFF"/>
        </w:rPr>
        <w:t>.</w:t>
      </w:r>
      <w:r w:rsidR="009B3CFD" w:rsidRPr="009B3CFD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org</w:t>
      </w:r>
    </w:p>
    <w:p w14:paraId="1B6A1150" w14:textId="1270EC26" w:rsidR="00C67613" w:rsidRPr="007973BD" w:rsidRDefault="007973BD" w:rsidP="00C67613">
      <w:pPr>
        <w:spacing w:beforeLines="100" w:before="312"/>
        <w:rPr>
          <w:rStyle w:val="a8"/>
          <w:rFonts w:ascii="Calibri" w:hAnsi="Calibri"/>
          <w:bCs w:val="0"/>
          <w:color w:val="C00000"/>
          <w:szCs w:val="21"/>
          <w:shd w:val="clear" w:color="auto" w:fill="FFFFFF"/>
        </w:rPr>
      </w:pPr>
      <w:r w:rsidRPr="007973BD">
        <w:rPr>
          <w:rStyle w:val="a8"/>
          <w:rFonts w:ascii="Calibri" w:hAnsi="Calibri" w:hint="eastAsia"/>
          <w:bCs w:val="0"/>
          <w:color w:val="C00000"/>
          <w:szCs w:val="21"/>
          <w:shd w:val="clear" w:color="auto" w:fill="FFFFFF"/>
        </w:rPr>
        <w:t>O</w:t>
      </w:r>
      <w:r w:rsidRPr="007973BD">
        <w:rPr>
          <w:rStyle w:val="a8"/>
          <w:rFonts w:ascii="Calibri" w:hAnsi="Calibri"/>
          <w:bCs w:val="0"/>
          <w:color w:val="C00000"/>
          <w:szCs w:val="21"/>
          <w:shd w:val="clear" w:color="auto" w:fill="FFFFFF"/>
        </w:rPr>
        <w:t>pen Access Article Index</w:t>
      </w:r>
      <w:r w:rsidRPr="007973BD">
        <w:rPr>
          <w:rStyle w:val="a8"/>
          <w:b w:val="0"/>
          <w:szCs w:val="21"/>
          <w:shd w:val="clear" w:color="auto" w:fill="FFFFFF"/>
        </w:rPr>
        <w:t xml:space="preserve"> </w:t>
      </w:r>
      <w:r w:rsidRPr="007973BD">
        <w:rPr>
          <w:rFonts w:ascii="Calibri" w:eastAsia="微软雅黑" w:hAnsi="Calibri" w:cs="Calibri" w:hint="eastAsia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（</w:t>
      </w:r>
      <w:r w:rsidRPr="007973BD">
        <w:rPr>
          <w:rFonts w:ascii="Calibri" w:eastAsia="微软雅黑" w:hAnsi="Calibri" w:cs="Calibri" w:hint="eastAsia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973BD">
        <w:rPr>
          <w:rFonts w:ascii="Calibri" w:eastAsia="微软雅黑" w:hAnsi="Calibri" w:cs="Calibri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018-20</w:t>
      </w:r>
      <w:r w:rsidR="008E4D68">
        <w:rPr>
          <w:rFonts w:ascii="Calibri" w:eastAsia="微软雅黑" w:hAnsi="Calibri" w:cs="Calibri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C59B2">
        <w:rPr>
          <w:rFonts w:ascii="Calibri" w:eastAsia="微软雅黑" w:hAnsi="Calibri" w:cs="Calibri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973BD">
        <w:rPr>
          <w:rFonts w:ascii="Calibri" w:eastAsia="微软雅黑" w:hAnsi="Calibri" w:cs="Calibri" w:hint="eastAsia"/>
          <w:b/>
          <w:iCs/>
          <w:color w:val="C00000"/>
          <w:szCs w:val="21"/>
          <w14:textOutline w14:w="0" w14:cap="flat" w14:cmpd="sng" w14:algn="ctr">
            <w14:noFill/>
            <w14:prstDash w14:val="solid"/>
            <w14:round/>
          </w14:textOutline>
        </w:rPr>
        <w:t>）</w:t>
      </w:r>
    </w:p>
    <w:p w14:paraId="4F26EBC6" w14:textId="77777777" w:rsidR="00FE79C4" w:rsidRPr="00AF55D2" w:rsidRDefault="007B0132" w:rsidP="009B3CFD">
      <w:pPr>
        <w:rPr>
          <w:rFonts w:ascii="Calibri" w:eastAsia="微软雅黑" w:hAnsi="Calibri" w:cs="Calibri"/>
          <w:bCs/>
          <w:sz w:val="18"/>
          <w:szCs w:val="18"/>
          <w:shd w:val="clear" w:color="auto" w:fill="FFFFFF"/>
        </w:rPr>
      </w:pPr>
      <w:r w:rsidRPr="007B0132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Some of </w:t>
      </w:r>
      <w:r w:rsidR="00176943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the </w:t>
      </w:r>
      <w:r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published</w:t>
      </w:r>
      <w:r w:rsidRPr="007B0132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 papers</w:t>
      </w:r>
      <w:r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 in the journal</w:t>
      </w:r>
      <w:r w:rsidRPr="007B0132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 are open access and </w:t>
      </w:r>
      <w:r w:rsidR="00871AF6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available</w:t>
      </w:r>
      <w:r w:rsidR="00A73F5D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 </w:t>
      </w:r>
      <w:r w:rsidRPr="007B0132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 xml:space="preserve">for free. The </w:t>
      </w:r>
      <w:r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list</w:t>
      </w:r>
      <w:r w:rsidRPr="007B0132">
        <w:rPr>
          <w:rStyle w:val="a8"/>
          <w:rFonts w:ascii="Calibri" w:eastAsia="微软雅黑" w:hAnsi="Calibri" w:cs="Calibri"/>
          <w:b w:val="0"/>
          <w:sz w:val="18"/>
          <w:szCs w:val="18"/>
          <w:shd w:val="clear" w:color="auto" w:fill="FFFFFF"/>
        </w:rPr>
        <w:t>s and links are as follows.</w:t>
      </w:r>
    </w:p>
    <w:p w14:paraId="232FF03C" w14:textId="36B5CF12" w:rsidR="00453D67" w:rsidRDefault="00453D67" w:rsidP="003C7496">
      <w:pPr>
        <w:pStyle w:val="a7"/>
        <w:numPr>
          <w:ilvl w:val="0"/>
          <w:numId w:val="6"/>
        </w:numPr>
        <w:spacing w:before="360"/>
        <w:ind w:left="357" w:firstLineChars="0" w:hanging="357"/>
        <w:rPr>
          <w:rStyle w:val="articlecitationyear"/>
          <w:rFonts w:ascii="Calibri" w:hAnsi="Calibri" w:cs="Calibri"/>
          <w:b/>
          <w:color w:val="C00000"/>
          <w:sz w:val="18"/>
          <w:szCs w:val="18"/>
        </w:rPr>
      </w:pPr>
      <w:r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>Intelligent Vehicles</w:t>
      </w:r>
    </w:p>
    <w:p w14:paraId="05C0C6AA" w14:textId="77777777" w:rsidR="00761F04" w:rsidRPr="00761F04" w:rsidRDefault="00761F04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761F04">
        <w:rPr>
          <w:rFonts w:ascii="Calibri" w:hAnsi="Calibri" w:cs="Calibri"/>
          <w:kern w:val="0"/>
          <w:sz w:val="18"/>
          <w:szCs w:val="18"/>
        </w:rPr>
        <w:t xml:space="preserve">[1] Liu, W.M., Yao, N.L., Shi, Y.W., et al.: Personality openness predicts driver trust in automated driving.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 xml:space="preserve">. </w:t>
      </w:r>
      <w:r w:rsidRPr="00761F04">
        <w:rPr>
          <w:rFonts w:ascii="Calibri" w:hAnsi="Calibri" w:cs="Calibri"/>
          <w:b/>
          <w:bCs/>
          <w:kern w:val="0"/>
          <w:sz w:val="18"/>
          <w:szCs w:val="18"/>
        </w:rPr>
        <w:t>3</w:t>
      </w:r>
      <w:r w:rsidRPr="00761F04">
        <w:rPr>
          <w:rFonts w:ascii="Calibri" w:hAnsi="Calibri" w:cs="Calibri"/>
          <w:kern w:val="0"/>
          <w:sz w:val="18"/>
          <w:szCs w:val="18"/>
        </w:rPr>
        <w:t>(1): 3–13 (2020)</w:t>
      </w:r>
    </w:p>
    <w:p w14:paraId="77D5B449" w14:textId="7B6115FF" w:rsidR="00761F04" w:rsidRDefault="00267DA8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9" w:history="1">
        <w:r w:rsidR="00761F04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https://link.springer.com/article/10.1007/s42154-019-00086-w</w:t>
        </w:r>
      </w:hyperlink>
      <w:r w:rsidR="00761F04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551F755" w14:textId="77777777" w:rsidR="00761F04" w:rsidRPr="00761F04" w:rsidRDefault="00761F04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761F04">
        <w:rPr>
          <w:rFonts w:ascii="Calibri" w:hAnsi="Calibri" w:cs="Calibri"/>
          <w:kern w:val="0"/>
          <w:sz w:val="18"/>
          <w:szCs w:val="18"/>
        </w:rPr>
        <w:t xml:space="preserve">[2] Clark, J.R., Stanton, N.A., Revell, K.M.A.: Automated vehicle handover interface design: focus groups with learner, intermediate and advanced drivers.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>. 3(1): 14–29 (2020)</w:t>
      </w:r>
    </w:p>
    <w:p w14:paraId="5695DE6F" w14:textId="3034201A" w:rsidR="00761F04" w:rsidRDefault="00267DA8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10" w:history="1">
        <w:r w:rsidR="00761F04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https://link.springer.com/article/10.1007/s42154-019-00085-x</w:t>
        </w:r>
      </w:hyperlink>
      <w:r w:rsidR="00761F04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30B868AB" w14:textId="77777777" w:rsidR="00761F04" w:rsidRPr="00761F04" w:rsidRDefault="00761F04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761F04">
        <w:rPr>
          <w:rFonts w:ascii="Calibri" w:hAnsi="Calibri" w:cs="Calibri"/>
          <w:kern w:val="0"/>
          <w:sz w:val="18"/>
          <w:szCs w:val="18"/>
        </w:rPr>
        <w:t xml:space="preserve">[3] Allison, C.K., Stanton, N.A.: Constraining design: applying the insights of cognitive work analysis to the design of novel in-car interfaces to support eco-driving.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761F04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761F04">
        <w:rPr>
          <w:rFonts w:ascii="Calibri" w:hAnsi="Calibri" w:cs="Calibri"/>
          <w:kern w:val="0"/>
          <w:sz w:val="18"/>
          <w:szCs w:val="18"/>
        </w:rPr>
        <w:t>. 3(1): 30–41 (2020)</w:t>
      </w:r>
    </w:p>
    <w:p w14:paraId="5AC05DEF" w14:textId="680F6178" w:rsidR="00761F04" w:rsidRDefault="00267DA8" w:rsidP="00761F0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11" w:history="1">
        <w:r w:rsidR="00761F04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https://link.springer.com/article/10.1007/s42154-020-00090-5</w:t>
        </w:r>
      </w:hyperlink>
      <w:r w:rsidR="00761F04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33ABF30C" w14:textId="77777777" w:rsidR="00CC3E55" w:rsidRPr="00CC3E55" w:rsidRDefault="00CC3E55" w:rsidP="00CC3E5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CC3E55">
        <w:rPr>
          <w:rFonts w:ascii="Calibri" w:hAnsi="Calibri" w:cs="Calibri"/>
          <w:kern w:val="0"/>
          <w:sz w:val="18"/>
          <w:szCs w:val="18"/>
        </w:rPr>
        <w:t xml:space="preserve">[4] Brown, J. W. H., Stanton, N. A., Revell, K. M. A.: Usability assessment of steering wheel control interfaces in motorsport.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>. 3(1): 42–52 (2020)</w:t>
      </w:r>
    </w:p>
    <w:p w14:paraId="311B33A1" w14:textId="71022A42" w:rsidR="00CC3E55" w:rsidRDefault="00267DA8" w:rsidP="00CC3E5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12" w:history="1">
        <w:r w:rsidR="00CC3E55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https://link.springer.com/article/10.1007/s42154-020-00088-z</w:t>
        </w:r>
      </w:hyperlink>
      <w:r w:rsidR="00CC3E55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4C8C7947" w14:textId="77777777" w:rsidR="00CC3E55" w:rsidRPr="00CC3E55" w:rsidRDefault="00CC3E55" w:rsidP="00CC3E5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CC3E55">
        <w:rPr>
          <w:rFonts w:ascii="Calibri" w:hAnsi="Calibri" w:cs="Calibri"/>
          <w:kern w:val="0"/>
          <w:sz w:val="18"/>
          <w:szCs w:val="18"/>
        </w:rPr>
        <w:t xml:space="preserve">[5]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Terken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 xml:space="preserve">, J.,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Pfleging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 xml:space="preserve">, B.: Toward shared control between automated vehicles and users.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CC3E55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CC3E55">
        <w:rPr>
          <w:rFonts w:ascii="Calibri" w:hAnsi="Calibri" w:cs="Calibri"/>
          <w:kern w:val="0"/>
          <w:sz w:val="18"/>
          <w:szCs w:val="18"/>
        </w:rPr>
        <w:t>. 3(1): 53–61 (2020)</w:t>
      </w:r>
    </w:p>
    <w:p w14:paraId="7B1C086E" w14:textId="7DE2F26D" w:rsidR="00CC3E55" w:rsidRDefault="00267DA8" w:rsidP="00CC3E5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13" w:history="1">
        <w:r w:rsidR="00CC3E55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https://link.springer.com/article/10.1007/s42154-019-00087-9</w:t>
        </w:r>
      </w:hyperlink>
      <w:r w:rsidR="00CC3E55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39C3EFB8" w14:textId="08B3B1D9" w:rsidR="00901ABD" w:rsidRPr="00901ABD" w:rsidRDefault="00901ABD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901ABD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6</w:t>
      </w:r>
      <w:r w:rsidRPr="00901ABD">
        <w:rPr>
          <w:rFonts w:ascii="Calibri" w:hAnsi="Calibri" w:cs="Calibri"/>
          <w:kern w:val="0"/>
          <w:sz w:val="18"/>
          <w:szCs w:val="18"/>
        </w:rPr>
        <w:t xml:space="preserve">] Ma, F.W., Wang, J.W., Yang, Y., et al.: Stability design for the homogeneous platoon with communication time delay. </w:t>
      </w:r>
      <w:proofErr w:type="spellStart"/>
      <w:r w:rsidRPr="00901ABD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901ABD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901ABD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901ABD">
        <w:rPr>
          <w:rFonts w:ascii="Calibri" w:hAnsi="Calibri" w:cs="Calibri"/>
          <w:kern w:val="0"/>
          <w:sz w:val="18"/>
          <w:szCs w:val="18"/>
        </w:rPr>
        <w:t>. 3(2): 101–110 (2020)</w:t>
      </w:r>
    </w:p>
    <w:p w14:paraId="067B396F" w14:textId="66986187" w:rsidR="00901ABD" w:rsidRPr="00761F04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14" w:history="1">
        <w:r w:rsidR="00901ABD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https://link.springer.com/article/10.1007/s42154-020-00102-4</w:t>
        </w:r>
      </w:hyperlink>
      <w:r w:rsidR="00901ABD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11FF775" w14:textId="3D5FA778" w:rsidR="00780681" w:rsidRPr="00AF55D2" w:rsidRDefault="00780681" w:rsidP="00780681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7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Yang, D., Jiao, X., Jiang, K. et al.: Driving space for autonomous vehicles.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(4): 241-253 (2019)</w:t>
      </w:r>
    </w:p>
    <w:p w14:paraId="4264E5D2" w14:textId="77777777" w:rsidR="00780681" w:rsidRPr="00AF55D2" w:rsidRDefault="00780681" w:rsidP="00780681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https://link.springer.com/article/10.1007/s42154-019-00081-1</w:t>
      </w:r>
    </w:p>
    <w:p w14:paraId="33D18A79" w14:textId="6E9947E9" w:rsidR="000D33CF" w:rsidRPr="00AF55D2" w:rsidRDefault="000D33CF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8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Li, J., Cheng, H., Guo, H., et al.: Survey on artificial intelligence for vehicles.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(1), 2-14 (2018)</w:t>
      </w:r>
    </w:p>
    <w:p w14:paraId="08BA1974" w14:textId="77777777" w:rsidR="000D33CF" w:rsidRPr="00AF55D2" w:rsidRDefault="00267DA8" w:rsidP="000D33CF">
      <w:pPr>
        <w:rPr>
          <w:rStyle w:val="a9"/>
          <w:rFonts w:ascii="Calibri" w:hAnsi="Calibri" w:cs="Calibri"/>
          <w:sz w:val="18"/>
          <w:szCs w:val="18"/>
        </w:rPr>
      </w:pPr>
      <w:hyperlink r:id="rId15" w:history="1">
        <w:r w:rsidR="00780681" w:rsidRPr="00AF55D2">
          <w:rPr>
            <w:rStyle w:val="a9"/>
            <w:rFonts w:ascii="Calibri" w:hAnsi="Calibri" w:cs="Calibri"/>
            <w:sz w:val="18"/>
            <w:szCs w:val="18"/>
          </w:rPr>
          <w:t>https://link.</w:t>
        </w:r>
        <w:r w:rsidR="00780681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springer</w:t>
        </w:r>
        <w:r w:rsidR="00780681" w:rsidRPr="00AF55D2">
          <w:rPr>
            <w:rStyle w:val="a9"/>
            <w:rFonts w:ascii="Calibri" w:hAnsi="Calibri" w:cs="Calibri"/>
            <w:sz w:val="18"/>
            <w:szCs w:val="18"/>
          </w:rPr>
          <w:t>.com/article/10.1007/s42154-018-0034-8</w:t>
        </w:r>
      </w:hyperlink>
    </w:p>
    <w:p w14:paraId="666F3448" w14:textId="0E63369F" w:rsidR="0091141E" w:rsidRPr="00AF55D2" w:rsidRDefault="0091141E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9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Luo, Y., Yang, G., Xu, M., et al.: Cooperative lane-change maneuver for multiple automated vehicles on a highway.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(3), 157-168 (2019)</w:t>
      </w:r>
    </w:p>
    <w:p w14:paraId="53359063" w14:textId="77777777" w:rsidR="0091141E" w:rsidRPr="00AF55D2" w:rsidRDefault="00267DA8" w:rsidP="0091141E">
      <w:pPr>
        <w:rPr>
          <w:rFonts w:ascii="Calibri" w:hAnsi="Calibri" w:cs="Calibri"/>
          <w:kern w:val="0"/>
          <w:sz w:val="18"/>
          <w:szCs w:val="18"/>
        </w:rPr>
      </w:pPr>
      <w:hyperlink r:id="rId16" w:history="1">
        <w:r w:rsidR="0091141E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https://link.springer.com/article/10.1007/s42154-019-00073-1</w:t>
        </w:r>
      </w:hyperlink>
      <w:r w:rsidR="0091141E"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48F104D3" w14:textId="3C1D7B81" w:rsidR="00453E31" w:rsidRPr="00AF55D2" w:rsidRDefault="00453E31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10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Gao, Z., Li, Z., Hu, H., et al.: Experimental and numerical study of cervical muscle contraction in frontal impact.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(2), 93-101 (2019) </w:t>
      </w:r>
    </w:p>
    <w:p w14:paraId="6152EAD7" w14:textId="77777777" w:rsidR="00453E31" w:rsidRPr="00AF55D2" w:rsidRDefault="00267DA8" w:rsidP="00AF55D2">
      <w:pPr>
        <w:rPr>
          <w:rFonts w:ascii="Calibri" w:hAnsi="Calibri" w:cs="Calibri"/>
          <w:kern w:val="0"/>
          <w:sz w:val="18"/>
          <w:szCs w:val="18"/>
        </w:rPr>
      </w:pPr>
      <w:hyperlink r:id="rId17" w:history="1">
        <w:r w:rsidR="00453E31" w:rsidRPr="00AF55D2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https://link.springer.com/article/10.1007/s42154-019-00060-6</w:t>
        </w:r>
      </w:hyperlink>
    </w:p>
    <w:p w14:paraId="4508324A" w14:textId="3987B1D1" w:rsidR="007D0478" w:rsidRPr="00AF55D2" w:rsidRDefault="007D0478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11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Qiu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, L., Qian, L.,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Abdollahi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, Z., et al.: Engine-map-based predictive fuel-efficient control strategies for a group of connected vehicles.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(4), 311-319(2018)</w:t>
      </w:r>
    </w:p>
    <w:p w14:paraId="667E2835" w14:textId="77777777" w:rsidR="007D0478" w:rsidRPr="00AF55D2" w:rsidRDefault="007D0478" w:rsidP="000D33CF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https://link.springer.com/article/10.1007/s42154-018-0042-8</w:t>
      </w:r>
    </w:p>
    <w:p w14:paraId="10D9659A" w14:textId="0709A0BC" w:rsidR="002142D5" w:rsidRPr="00AF55D2" w:rsidRDefault="002142D5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12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Guo, Y.,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Kumazawa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, I., Kaku, C.: Blind spot obstacle detection from monocular camera images with depth cues extracted by CNN.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(4), 362-373 (2018)</w:t>
      </w:r>
    </w:p>
    <w:p w14:paraId="7F1B9172" w14:textId="77777777" w:rsidR="002142D5" w:rsidRPr="00AF55D2" w:rsidRDefault="00267DA8" w:rsidP="000D33CF">
      <w:pPr>
        <w:rPr>
          <w:rStyle w:val="a9"/>
          <w:rFonts w:ascii="Calibri" w:hAnsi="Calibri" w:cs="Calibri"/>
          <w:sz w:val="18"/>
          <w:szCs w:val="18"/>
        </w:rPr>
      </w:pPr>
      <w:hyperlink r:id="rId18" w:history="1">
        <w:r w:rsidR="00A73F5D" w:rsidRPr="00AF55D2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https://link.springer.com/article/10.1007/s42154-018-0036-6</w:t>
        </w:r>
      </w:hyperlink>
    </w:p>
    <w:p w14:paraId="5FA7ADB6" w14:textId="22C26809" w:rsidR="00A73F5D" w:rsidRPr="00AF55D2" w:rsidRDefault="00A73F5D" w:rsidP="00A73F5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13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Zhang, X., Huang, Y., Guo, K., et al.: Integrated spacing policy considering micro- and macroscopic characteristics.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(2), 102-109 (2019) </w:t>
      </w:r>
    </w:p>
    <w:p w14:paraId="3EBFFD27" w14:textId="11202840" w:rsidR="00A73F5D" w:rsidRDefault="00267DA8" w:rsidP="00A73F5D">
      <w:pPr>
        <w:rPr>
          <w:rStyle w:val="a9"/>
          <w:rFonts w:ascii="Calibri" w:hAnsi="Calibri" w:cs="Calibri"/>
          <w:sz w:val="18"/>
          <w:szCs w:val="18"/>
        </w:rPr>
      </w:pPr>
      <w:hyperlink r:id="rId19" w:history="1">
        <w:r w:rsidR="00A73F5D" w:rsidRPr="00AF55D2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https://link.springer.com/article/10.1007/s42154-019-00064-2</w:t>
        </w:r>
      </w:hyperlink>
    </w:p>
    <w:p w14:paraId="19B4ECCE" w14:textId="5BB1430C" w:rsidR="00DC59B2" w:rsidRDefault="00DC59B2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DC59B2">
        <w:rPr>
          <w:rFonts w:ascii="Calibri" w:hAnsi="Calibri" w:cs="Calibri" w:hint="eastAsia"/>
          <w:kern w:val="0"/>
          <w:sz w:val="18"/>
          <w:szCs w:val="18"/>
        </w:rPr>
        <w:t>[</w:t>
      </w:r>
      <w:r w:rsidRPr="00DC59B2">
        <w:rPr>
          <w:rFonts w:ascii="Calibri" w:hAnsi="Calibri" w:cs="Calibri"/>
          <w:kern w:val="0"/>
          <w:sz w:val="18"/>
          <w:szCs w:val="18"/>
        </w:rPr>
        <w:t>14] Peng, L., Wang, H. &amp; Li, J.</w:t>
      </w:r>
      <w:r>
        <w:rPr>
          <w:rFonts w:ascii="Calibri" w:hAnsi="Calibri" w:cs="Calibri" w:hint="eastAsia"/>
          <w:kern w:val="0"/>
          <w:sz w:val="18"/>
          <w:szCs w:val="18"/>
        </w:rPr>
        <w:t>:</w:t>
      </w:r>
      <w:r w:rsidRPr="00DC59B2">
        <w:rPr>
          <w:rFonts w:ascii="Calibri" w:hAnsi="Calibri" w:cs="Calibri"/>
          <w:kern w:val="0"/>
          <w:sz w:val="18"/>
          <w:szCs w:val="18"/>
        </w:rPr>
        <w:t xml:space="preserve"> Uncertainty evaluation of object detection algorithms for autonomous vehicles.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DC59B2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(3)</w:t>
      </w:r>
      <w:r w:rsidRPr="00DC59B2">
        <w:rPr>
          <w:rFonts w:ascii="Calibri" w:hAnsi="Calibri" w:cs="Calibri"/>
          <w:kern w:val="0"/>
          <w:sz w:val="18"/>
          <w:szCs w:val="18"/>
        </w:rPr>
        <w:t>, 241–252 (2021)</w:t>
      </w:r>
    </w:p>
    <w:p w14:paraId="3A660BBC" w14:textId="426FA4E9" w:rsidR="00DC59B2" w:rsidRDefault="00267DA8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0" w:history="1">
        <w:r w:rsidR="00DC59B2" w:rsidRPr="00FA614A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https://link.springer.com/article/10.1007/s42154-021-00154-0</w:t>
        </w:r>
      </w:hyperlink>
    </w:p>
    <w:p w14:paraId="66256E06" w14:textId="4D983647" w:rsidR="00DC59B2" w:rsidRDefault="00DC59B2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 xml:space="preserve">[15] </w:t>
      </w:r>
      <w:r w:rsidRPr="00DC59B2">
        <w:rPr>
          <w:rFonts w:ascii="Calibri" w:hAnsi="Calibri" w:cs="Calibri"/>
          <w:kern w:val="0"/>
          <w:sz w:val="18"/>
          <w:szCs w:val="18"/>
        </w:rPr>
        <w:t>Wang, Y., Wang, Y., Qin, H. et al.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DC59B2">
        <w:rPr>
          <w:rFonts w:ascii="Calibri" w:hAnsi="Calibri" w:cs="Calibri"/>
          <w:kern w:val="0"/>
          <w:sz w:val="18"/>
          <w:szCs w:val="18"/>
        </w:rPr>
        <w:t xml:space="preserve"> A systematic risk assessment framework of automotive cybersecurity.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DC59B2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(3)</w:t>
      </w:r>
      <w:r w:rsidRPr="00DC59B2">
        <w:rPr>
          <w:rFonts w:ascii="Calibri" w:hAnsi="Calibri" w:cs="Calibri"/>
          <w:kern w:val="0"/>
          <w:sz w:val="18"/>
          <w:szCs w:val="18"/>
        </w:rPr>
        <w:t>, 253–261 (2021)</w:t>
      </w:r>
    </w:p>
    <w:p w14:paraId="1BC724C4" w14:textId="79ACB3BD" w:rsidR="00DC59B2" w:rsidRDefault="00267DA8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1" w:history="1">
        <w:r w:rsidR="00DC59B2" w:rsidRPr="00FA614A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https://link.springer.com/article/10.1007/s42154-021-00140-6</w:t>
        </w:r>
      </w:hyperlink>
    </w:p>
    <w:p w14:paraId="08030BDA" w14:textId="53376796" w:rsidR="00DC59B2" w:rsidRDefault="00DC59B2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 xml:space="preserve">[16]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Quante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, L., Zhang, M.,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Preuk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>, K. et al.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DC59B2">
        <w:rPr>
          <w:rFonts w:ascii="Calibri" w:hAnsi="Calibri" w:cs="Calibri"/>
          <w:kern w:val="0"/>
          <w:sz w:val="18"/>
          <w:szCs w:val="18"/>
        </w:rPr>
        <w:t xml:space="preserve"> Human performance in critical scenarios as a benchmark for highly automated vehicles.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DC59B2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(3)</w:t>
      </w:r>
      <w:r w:rsidRPr="00DC59B2">
        <w:rPr>
          <w:rFonts w:ascii="Calibri" w:hAnsi="Calibri" w:cs="Calibri"/>
          <w:kern w:val="0"/>
          <w:sz w:val="18"/>
          <w:szCs w:val="18"/>
        </w:rPr>
        <w:t>, 274–283 (2021)</w:t>
      </w:r>
    </w:p>
    <w:p w14:paraId="3922B4DA" w14:textId="4C92346D" w:rsidR="00DC59B2" w:rsidRDefault="00267DA8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2" w:history="1">
        <w:r w:rsidR="00DC59B2" w:rsidRPr="00FA614A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https://link.springer.com/article/10.1007/s42154-021-00152-2</w:t>
        </w:r>
      </w:hyperlink>
    </w:p>
    <w:p w14:paraId="4CBB287F" w14:textId="554A955E" w:rsidR="00DC59B2" w:rsidRDefault="00DC59B2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 xml:space="preserve">[17] </w:t>
      </w:r>
      <w:r w:rsidRPr="00DC59B2">
        <w:rPr>
          <w:rFonts w:ascii="Calibri" w:hAnsi="Calibri" w:cs="Calibri"/>
          <w:kern w:val="0"/>
          <w:sz w:val="18"/>
          <w:szCs w:val="18"/>
        </w:rPr>
        <w:t xml:space="preserve">Biddle, L.,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Fallah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>, S.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DC59B2">
        <w:rPr>
          <w:rFonts w:ascii="Calibri" w:hAnsi="Calibri" w:cs="Calibri"/>
          <w:kern w:val="0"/>
          <w:sz w:val="18"/>
          <w:szCs w:val="18"/>
        </w:rPr>
        <w:t xml:space="preserve"> A novel fault detection, identification and prediction approach for autonomous vehicle controllers using SVM.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DC59B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DC59B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DC59B2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(3)</w:t>
      </w:r>
      <w:r w:rsidRPr="00DC59B2">
        <w:rPr>
          <w:rFonts w:ascii="Calibri" w:hAnsi="Calibri" w:cs="Calibri"/>
          <w:kern w:val="0"/>
          <w:sz w:val="18"/>
          <w:szCs w:val="18"/>
        </w:rPr>
        <w:t>, 301–314 (2021)</w:t>
      </w:r>
    </w:p>
    <w:p w14:paraId="799FEB92" w14:textId="559CF4CD" w:rsidR="00DC59B2" w:rsidRDefault="00267DA8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3" w:history="1">
        <w:r w:rsidR="00DC59B2" w:rsidRPr="00FA614A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https://link.springer.com/article/10.1007/s42154-021-00138-0</w:t>
        </w:r>
      </w:hyperlink>
      <w:r w:rsidR="00DC59B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16832A5" w14:textId="1E227E6B" w:rsidR="00D2253A" w:rsidRDefault="00D2253A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 w:hint="eastAsia"/>
          <w:kern w:val="0"/>
          <w:sz w:val="18"/>
          <w:szCs w:val="18"/>
        </w:rPr>
        <w:lastRenderedPageBreak/>
        <w:t>[</w:t>
      </w:r>
      <w:r>
        <w:rPr>
          <w:rFonts w:ascii="Calibri" w:hAnsi="Calibri" w:cs="Calibri"/>
          <w:kern w:val="0"/>
          <w:sz w:val="18"/>
          <w:szCs w:val="18"/>
        </w:rPr>
        <w:t xml:space="preserve">18] </w:t>
      </w:r>
      <w:r w:rsidRPr="00D2253A">
        <w:rPr>
          <w:rFonts w:ascii="Calibri" w:hAnsi="Calibri" w:cs="Calibri"/>
          <w:kern w:val="0"/>
          <w:sz w:val="18"/>
          <w:szCs w:val="18"/>
        </w:rPr>
        <w:t>Peng, B., Sun, Q., Li, S.E. et al.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D2253A">
        <w:rPr>
          <w:rFonts w:ascii="Calibri" w:hAnsi="Calibri" w:cs="Calibri"/>
          <w:kern w:val="0"/>
          <w:sz w:val="18"/>
          <w:szCs w:val="18"/>
        </w:rPr>
        <w:t xml:space="preserve"> End-to-end autonomous driving through dueling double Deep Q-Network. </w:t>
      </w:r>
      <w:proofErr w:type="spellStart"/>
      <w:r w:rsidRPr="00D2253A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D2253A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D2253A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D2253A">
        <w:rPr>
          <w:rFonts w:ascii="Calibri" w:hAnsi="Calibri" w:cs="Calibri"/>
          <w:kern w:val="0"/>
          <w:sz w:val="18"/>
          <w:szCs w:val="18"/>
        </w:rPr>
        <w:t xml:space="preserve">. </w:t>
      </w:r>
      <w:r w:rsidRPr="00D2253A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(3)</w:t>
      </w:r>
      <w:r w:rsidRPr="00D2253A">
        <w:rPr>
          <w:rFonts w:ascii="Calibri" w:hAnsi="Calibri" w:cs="Calibri"/>
          <w:kern w:val="0"/>
          <w:sz w:val="18"/>
          <w:szCs w:val="18"/>
        </w:rPr>
        <w:t>, 328–337 (2021)</w:t>
      </w:r>
    </w:p>
    <w:p w14:paraId="755683FA" w14:textId="4B953B63" w:rsidR="00D2253A" w:rsidRDefault="00267DA8" w:rsidP="00DC59B2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4" w:history="1">
        <w:r w:rsidR="00D2253A" w:rsidRPr="00FA614A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https://link.springer.com/article/10.1007/s42154-021-00151-3</w:t>
        </w:r>
      </w:hyperlink>
      <w:r w:rsidR="00D2253A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5C310517" w14:textId="09FBBAC3" w:rsidR="001A71F9" w:rsidRPr="001A71F9" w:rsidRDefault="001A71F9" w:rsidP="001A71F9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1A71F9">
        <w:rPr>
          <w:rFonts w:ascii="Calibri" w:hAnsi="Calibri" w:cs="Calibri"/>
          <w:kern w:val="0"/>
          <w:sz w:val="18"/>
          <w:szCs w:val="18"/>
        </w:rPr>
        <w:t>[</w:t>
      </w:r>
      <w:r>
        <w:rPr>
          <w:rFonts w:ascii="Calibri" w:hAnsi="Calibri" w:cs="Calibri"/>
          <w:kern w:val="0"/>
          <w:sz w:val="18"/>
          <w:szCs w:val="18"/>
        </w:rPr>
        <w:t>19</w:t>
      </w:r>
      <w:r w:rsidRPr="001A71F9">
        <w:rPr>
          <w:rFonts w:ascii="Calibri" w:hAnsi="Calibri" w:cs="Calibri"/>
          <w:kern w:val="0"/>
          <w:sz w:val="18"/>
          <w:szCs w:val="18"/>
        </w:rPr>
        <w:t xml:space="preserve">] Meyer, MA., Sauter, L.,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Granrath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, C. et al.: Simulator coupled with distributed co-simulation protocol for automated driving tests.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>. 4(4), 373–389 (2021)</w:t>
      </w:r>
    </w:p>
    <w:p w14:paraId="37141CA2" w14:textId="795BCE80" w:rsidR="001A71F9" w:rsidRPr="00DC59B2" w:rsidRDefault="001A71F9" w:rsidP="001A71F9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5" w:history="1">
        <w:r w:rsidRPr="00F237E0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https://link.springer.com/article/10.1007/s42154-021-00161-1</w:t>
        </w:r>
      </w:hyperlink>
      <w:r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665F996E" w14:textId="4B18EFD5" w:rsidR="0091141E" w:rsidRDefault="0091141E" w:rsidP="003C7496">
      <w:pPr>
        <w:pStyle w:val="a7"/>
        <w:numPr>
          <w:ilvl w:val="0"/>
          <w:numId w:val="6"/>
        </w:numPr>
        <w:spacing w:before="360"/>
        <w:ind w:left="357" w:firstLineChars="0" w:hanging="357"/>
        <w:rPr>
          <w:rStyle w:val="articlecitationyear"/>
          <w:rFonts w:ascii="Calibri" w:hAnsi="Calibri" w:cs="Calibri"/>
          <w:b/>
          <w:color w:val="C00000"/>
          <w:sz w:val="18"/>
          <w:szCs w:val="18"/>
        </w:rPr>
      </w:pPr>
      <w:r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>Electric Vehicles</w:t>
      </w:r>
    </w:p>
    <w:p w14:paraId="64C82052" w14:textId="77777777" w:rsidR="005A053B" w:rsidRPr="005A053B" w:rsidRDefault="005A053B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5A053B">
        <w:rPr>
          <w:rFonts w:ascii="Calibri" w:hAnsi="Calibri" w:cs="Calibri"/>
          <w:kern w:val="0"/>
          <w:sz w:val="18"/>
          <w:szCs w:val="18"/>
        </w:rPr>
        <w:t xml:space="preserve">[1]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Xue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, Q., Yang, D., Jiang, L. et al.: Modifying carbon supports of catalyst for the oxygen reduction reaction in vehicle PEMFCs.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53474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5A053B">
        <w:rPr>
          <w:rFonts w:ascii="Calibri" w:hAnsi="Calibri" w:cs="Calibri"/>
          <w:kern w:val="0"/>
          <w:sz w:val="18"/>
          <w:szCs w:val="18"/>
        </w:rPr>
        <w:t>(2), 119–130 (2021)</w:t>
      </w:r>
    </w:p>
    <w:p w14:paraId="6C8CD71B" w14:textId="7545A049" w:rsidR="005A053B" w:rsidRPr="005A053B" w:rsidRDefault="00267DA8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6" w:history="1">
        <w:r w:rsidR="005A053B" w:rsidRPr="00AF205C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https://link.springer.com/article/10.1007/s42154-021-00149-x</w:t>
        </w:r>
      </w:hyperlink>
      <w:r w:rsidR="005A053B">
        <w:rPr>
          <w:rFonts w:ascii="Calibri" w:hAnsi="Calibri" w:cs="Calibri"/>
          <w:kern w:val="0"/>
          <w:sz w:val="18"/>
          <w:szCs w:val="18"/>
        </w:rPr>
        <w:t xml:space="preserve"> </w:t>
      </w:r>
      <w:r w:rsidR="005A053B" w:rsidRPr="005A053B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2252788" w14:textId="77777777" w:rsidR="005A053B" w:rsidRPr="005A053B" w:rsidRDefault="005A053B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5A053B">
        <w:rPr>
          <w:rFonts w:ascii="Calibri" w:hAnsi="Calibri" w:cs="Calibri"/>
          <w:kern w:val="0"/>
          <w:sz w:val="18"/>
          <w:szCs w:val="18"/>
        </w:rPr>
        <w:t xml:space="preserve">[2] Du, L., Zhang, G. &amp; Sun, S.: Proton Exchange Membrane (PEM) fuel cells with Platinum Group Metal (PGM)-free cathode.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53474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5A053B">
        <w:rPr>
          <w:rFonts w:ascii="Calibri" w:hAnsi="Calibri" w:cs="Calibri"/>
          <w:kern w:val="0"/>
          <w:sz w:val="18"/>
          <w:szCs w:val="18"/>
        </w:rPr>
        <w:t>(2), 131–143 (2021)</w:t>
      </w:r>
    </w:p>
    <w:p w14:paraId="166A8F02" w14:textId="12CCEC90" w:rsidR="005A053B" w:rsidRPr="005A053B" w:rsidRDefault="00267DA8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7" w:history="1">
        <w:r w:rsidR="005A053B" w:rsidRPr="00AF205C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https://link.springer.com/article/10.1007/s42154-021-00146-0</w:t>
        </w:r>
      </w:hyperlink>
      <w:r w:rsidR="005A053B">
        <w:rPr>
          <w:rFonts w:ascii="Calibri" w:hAnsi="Calibri" w:cs="Calibri"/>
          <w:kern w:val="0"/>
          <w:sz w:val="18"/>
          <w:szCs w:val="18"/>
        </w:rPr>
        <w:t xml:space="preserve"> </w:t>
      </w:r>
      <w:r w:rsidR="005A053B" w:rsidRPr="005A053B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0FD0A49" w14:textId="77777777" w:rsidR="005A053B" w:rsidRPr="005A053B" w:rsidRDefault="005A053B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5A053B">
        <w:rPr>
          <w:rFonts w:ascii="Calibri" w:hAnsi="Calibri" w:cs="Calibri"/>
          <w:kern w:val="0"/>
          <w:sz w:val="18"/>
          <w:szCs w:val="18"/>
        </w:rPr>
        <w:t xml:space="preserve">[3] Wang, H., Wang, R., Sui, S. et al.: Cathode design for Proton Exchange Membrane fuel cells in automotive applications.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53474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5A053B">
        <w:rPr>
          <w:rFonts w:ascii="Calibri" w:hAnsi="Calibri" w:cs="Calibri"/>
          <w:kern w:val="0"/>
          <w:sz w:val="18"/>
          <w:szCs w:val="18"/>
        </w:rPr>
        <w:t>(2), 144–164 (2021)</w:t>
      </w:r>
    </w:p>
    <w:p w14:paraId="56803BBB" w14:textId="0DA688E0" w:rsidR="005A053B" w:rsidRPr="005A053B" w:rsidRDefault="00267DA8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8" w:history="1">
        <w:r w:rsidR="005A053B" w:rsidRPr="00AF205C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https://link.springer.com/article/10.1007/s42154-021-00148-y</w:t>
        </w:r>
      </w:hyperlink>
      <w:r w:rsidR="005A053B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2F30CD43" w14:textId="3271D721" w:rsidR="005A053B" w:rsidRPr="005A053B" w:rsidRDefault="005A053B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5A053B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4</w:t>
      </w:r>
      <w:r w:rsidRPr="005A053B">
        <w:rPr>
          <w:rFonts w:ascii="Calibri" w:hAnsi="Calibri" w:cs="Calibri"/>
          <w:kern w:val="0"/>
          <w:sz w:val="18"/>
          <w:szCs w:val="18"/>
        </w:rPr>
        <w:t xml:space="preserve">]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Coratella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, C., Parry, L., Li, Y. et al.: Experimental investigation of the rail pressure fluctuations correlated with fuel properties and injection settings.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5A053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5A053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53474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5A053B">
        <w:rPr>
          <w:rFonts w:ascii="Calibri" w:hAnsi="Calibri" w:cs="Calibri"/>
          <w:kern w:val="0"/>
          <w:sz w:val="18"/>
          <w:szCs w:val="18"/>
        </w:rPr>
        <w:t>(2), 215–226 (2021)</w:t>
      </w:r>
    </w:p>
    <w:p w14:paraId="2D66701B" w14:textId="26C9E44E" w:rsidR="005A053B" w:rsidRDefault="00267DA8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29" w:history="1">
        <w:r w:rsidR="005A053B" w:rsidRPr="00AF205C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https://link.springer.com/article/10.1007/s42154-020-00133-x</w:t>
        </w:r>
      </w:hyperlink>
      <w:r w:rsidR="005A053B">
        <w:rPr>
          <w:rFonts w:ascii="Calibri" w:hAnsi="Calibri" w:cs="Calibri"/>
          <w:kern w:val="0"/>
          <w:sz w:val="18"/>
          <w:szCs w:val="18"/>
        </w:rPr>
        <w:t xml:space="preserve"> </w:t>
      </w:r>
      <w:r w:rsidR="005A053B" w:rsidRPr="005A053B">
        <w:rPr>
          <w:rFonts w:ascii="Calibri" w:hAnsi="Calibri" w:cs="Calibri"/>
          <w:kern w:val="0"/>
          <w:sz w:val="18"/>
          <w:szCs w:val="18"/>
        </w:rPr>
        <w:t xml:space="preserve">  </w:t>
      </w:r>
    </w:p>
    <w:p w14:paraId="33169A76" w14:textId="21F10693" w:rsidR="00C5047F" w:rsidRPr="00901ABD" w:rsidRDefault="00C5047F" w:rsidP="005A053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901ABD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5</w:t>
      </w:r>
      <w:r w:rsidRPr="00901ABD">
        <w:rPr>
          <w:rFonts w:ascii="Calibri" w:hAnsi="Calibri" w:cs="Calibri"/>
          <w:kern w:val="0"/>
          <w:sz w:val="18"/>
          <w:szCs w:val="18"/>
        </w:rPr>
        <w:t xml:space="preserve">] </w:t>
      </w:r>
      <w:r w:rsidRPr="00C5047F">
        <w:rPr>
          <w:rFonts w:ascii="Calibri" w:hAnsi="Calibri" w:cs="Calibri"/>
          <w:kern w:val="0"/>
          <w:sz w:val="18"/>
          <w:szCs w:val="18"/>
        </w:rPr>
        <w:t>Cai, W., Wu, X., Zhou, M. et al.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 Review and development of electric motor systems and electric powertrains for new energy vehicles. </w:t>
      </w:r>
      <w:proofErr w:type="spellStart"/>
      <w:r w:rsidRPr="00C5047F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C5047F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C5047F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C5047F">
        <w:rPr>
          <w:rFonts w:ascii="Calibri" w:hAnsi="Calibri" w:cs="Calibri"/>
          <w:kern w:val="0"/>
          <w:sz w:val="18"/>
          <w:szCs w:val="18"/>
        </w:rPr>
        <w:t xml:space="preserve">. </w:t>
      </w:r>
      <w:r w:rsidRPr="00C5047F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 w:hint="eastAsia"/>
          <w:kern w:val="0"/>
          <w:sz w:val="18"/>
          <w:szCs w:val="18"/>
        </w:rPr>
        <w:t>(</w:t>
      </w:r>
      <w:r>
        <w:rPr>
          <w:rFonts w:ascii="Calibri" w:hAnsi="Calibri" w:cs="Calibri"/>
          <w:kern w:val="0"/>
          <w:sz w:val="18"/>
          <w:szCs w:val="18"/>
        </w:rPr>
        <w:t>1)</w:t>
      </w:r>
      <w:r w:rsidRPr="00C5047F">
        <w:rPr>
          <w:rFonts w:ascii="Calibri" w:hAnsi="Calibri" w:cs="Calibri"/>
          <w:kern w:val="0"/>
          <w:sz w:val="18"/>
          <w:szCs w:val="18"/>
        </w:rPr>
        <w:t>, 3–22 (2021)</w:t>
      </w:r>
    </w:p>
    <w:p w14:paraId="46C16626" w14:textId="312A1E22" w:rsidR="00C5047F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0" w:history="1">
        <w:r w:rsidR="00C5047F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https://link.springer.com/article/10.1007/s42154-021-00139-z</w:t>
        </w:r>
      </w:hyperlink>
      <w:r w:rsidR="00C5047F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37D2C0D0" w14:textId="30D7489E" w:rsidR="00C5047F" w:rsidRDefault="00C5047F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C5047F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6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] Chen, H., Li, L. &amp; </w:t>
      </w:r>
      <w:proofErr w:type="spellStart"/>
      <w:r w:rsidRPr="00C5047F">
        <w:rPr>
          <w:rFonts w:ascii="Calibri" w:hAnsi="Calibri" w:cs="Calibri"/>
          <w:kern w:val="0"/>
          <w:sz w:val="18"/>
          <w:szCs w:val="18"/>
        </w:rPr>
        <w:t>Küçükay</w:t>
      </w:r>
      <w:proofErr w:type="spellEnd"/>
      <w:r w:rsidRPr="00C5047F">
        <w:rPr>
          <w:rFonts w:ascii="Calibri" w:hAnsi="Calibri" w:cs="Calibri"/>
          <w:kern w:val="0"/>
          <w:sz w:val="18"/>
          <w:szCs w:val="18"/>
        </w:rPr>
        <w:t>, F.</w:t>
      </w:r>
      <w:r w:rsidR="00E4743E">
        <w:rPr>
          <w:rFonts w:ascii="Calibri" w:hAnsi="Calibri" w:cs="Calibri"/>
          <w:kern w:val="0"/>
          <w:sz w:val="18"/>
          <w:szCs w:val="18"/>
        </w:rPr>
        <w:t>: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 Study of </w:t>
      </w:r>
      <w:r w:rsidR="00E4743E" w:rsidRPr="00C5047F">
        <w:rPr>
          <w:rFonts w:ascii="Calibri" w:hAnsi="Calibri" w:cs="Calibri"/>
          <w:kern w:val="0"/>
          <w:sz w:val="18"/>
          <w:szCs w:val="18"/>
        </w:rPr>
        <w:t>series-parallel and power-sp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lit DHT for </w:t>
      </w:r>
      <w:r w:rsidR="00E4743E" w:rsidRPr="00C5047F">
        <w:rPr>
          <w:rFonts w:ascii="Calibri" w:hAnsi="Calibri" w:cs="Calibri"/>
          <w:kern w:val="0"/>
          <w:sz w:val="18"/>
          <w:szCs w:val="18"/>
        </w:rPr>
        <w:t>hybrid pow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ertrains. </w:t>
      </w:r>
      <w:proofErr w:type="spellStart"/>
      <w:r w:rsidRPr="00C5047F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C5047F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C5047F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C5047F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4743E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="00E4743E">
        <w:rPr>
          <w:rFonts w:ascii="Calibri" w:hAnsi="Calibri" w:cs="Calibri"/>
          <w:kern w:val="0"/>
          <w:sz w:val="18"/>
          <w:szCs w:val="18"/>
        </w:rPr>
        <w:t>(1)</w:t>
      </w:r>
      <w:r w:rsidRPr="00C5047F">
        <w:rPr>
          <w:rFonts w:ascii="Calibri" w:hAnsi="Calibri" w:cs="Calibri"/>
          <w:kern w:val="0"/>
          <w:sz w:val="18"/>
          <w:szCs w:val="18"/>
        </w:rPr>
        <w:t>, 23–33 (2021)</w:t>
      </w:r>
    </w:p>
    <w:p w14:paraId="21CBF456" w14:textId="1CE6D007" w:rsidR="00C5047F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1" w:history="1">
        <w:r w:rsidR="00C5047F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https://link.springer.com/article/10.1007/s42154-020-00126-w</w:t>
        </w:r>
      </w:hyperlink>
      <w:r w:rsidR="00C5047F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5DC75D21" w14:textId="62C2DDC8" w:rsidR="00C5047F" w:rsidRDefault="00C5047F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C5047F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7</w:t>
      </w:r>
      <w:r w:rsidRPr="00C5047F">
        <w:rPr>
          <w:rFonts w:ascii="Calibri" w:hAnsi="Calibri" w:cs="Calibri"/>
          <w:kern w:val="0"/>
          <w:sz w:val="18"/>
          <w:szCs w:val="18"/>
        </w:rPr>
        <w:t xml:space="preserve">] </w:t>
      </w:r>
      <w:r w:rsidR="00E4743E" w:rsidRPr="00E4743E">
        <w:rPr>
          <w:rFonts w:ascii="Calibri" w:hAnsi="Calibri" w:cs="Calibri"/>
          <w:kern w:val="0"/>
          <w:sz w:val="18"/>
          <w:szCs w:val="18"/>
        </w:rPr>
        <w:t>Xu, X., Liang, J., Hao, Q. et al.</w:t>
      </w:r>
      <w:r w:rsidR="00E4743E">
        <w:rPr>
          <w:rFonts w:ascii="Calibri" w:hAnsi="Calibri" w:cs="Calibri"/>
          <w:kern w:val="0"/>
          <w:sz w:val="18"/>
          <w:szCs w:val="18"/>
        </w:rPr>
        <w:t>:</w:t>
      </w:r>
      <w:r w:rsidR="00E4743E" w:rsidRPr="00E4743E">
        <w:rPr>
          <w:rFonts w:ascii="Calibri" w:hAnsi="Calibri" w:cs="Calibri"/>
          <w:kern w:val="0"/>
          <w:sz w:val="18"/>
          <w:szCs w:val="18"/>
        </w:rPr>
        <w:t xml:space="preserve"> A novel electric dual motor transmission for heavy commercial vehicles. </w:t>
      </w:r>
      <w:proofErr w:type="spellStart"/>
      <w:r w:rsidR="00E4743E" w:rsidRPr="00E4743E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="00E4743E"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="00E4743E" w:rsidRPr="00E4743E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="00E4743E"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r w:rsidR="00E4743E" w:rsidRPr="00E4743E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="00E4743E">
        <w:rPr>
          <w:rFonts w:ascii="Calibri" w:hAnsi="Calibri" w:cs="Calibri"/>
          <w:kern w:val="0"/>
          <w:sz w:val="18"/>
          <w:szCs w:val="18"/>
        </w:rPr>
        <w:t>(1)</w:t>
      </w:r>
      <w:r w:rsidR="00E4743E" w:rsidRPr="00E4743E">
        <w:rPr>
          <w:rFonts w:ascii="Calibri" w:hAnsi="Calibri" w:cs="Calibri"/>
          <w:kern w:val="0"/>
          <w:sz w:val="18"/>
          <w:szCs w:val="18"/>
        </w:rPr>
        <w:t>, 34–43 (2021)</w:t>
      </w:r>
    </w:p>
    <w:p w14:paraId="037619CD" w14:textId="7A2B4954" w:rsidR="00C5047F" w:rsidRPr="00E4743E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2" w:history="1">
        <w:r w:rsidR="00E4743E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https://link.springer.com/article/10.1007/s42154-020-00129-7</w:t>
        </w:r>
      </w:hyperlink>
      <w:r w:rsidR="00E4743E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4D79ED9" w14:textId="22418EF2" w:rsidR="00E4743E" w:rsidRPr="00901ABD" w:rsidRDefault="00E4743E" w:rsidP="00E4743E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901ABD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8</w:t>
      </w:r>
      <w:r w:rsidRPr="00901ABD">
        <w:rPr>
          <w:rFonts w:ascii="Calibri" w:hAnsi="Calibri" w:cs="Calibri"/>
          <w:kern w:val="0"/>
          <w:sz w:val="18"/>
          <w:szCs w:val="18"/>
        </w:rPr>
        <w:t xml:space="preserve">] </w:t>
      </w:r>
      <w:r w:rsidRPr="00E4743E">
        <w:rPr>
          <w:rFonts w:ascii="Calibri" w:hAnsi="Calibri" w:cs="Calibri"/>
          <w:kern w:val="0"/>
          <w:sz w:val="18"/>
          <w:szCs w:val="18"/>
        </w:rPr>
        <w:t>Wang, W., Zhang, Y., Sun, X. et al.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E4743E">
        <w:rPr>
          <w:rFonts w:ascii="Calibri" w:hAnsi="Calibri" w:cs="Calibri"/>
          <w:kern w:val="0"/>
          <w:sz w:val="18"/>
          <w:szCs w:val="18"/>
        </w:rPr>
        <w:t xml:space="preserve"> Model-based double closed-loop coordinated control strategy for the electro-mechanical transmission system of heavy power-split HEVs.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4743E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(1)</w:t>
      </w:r>
      <w:r w:rsidRPr="00E4743E">
        <w:rPr>
          <w:rFonts w:ascii="Calibri" w:hAnsi="Calibri" w:cs="Calibri"/>
          <w:kern w:val="0"/>
          <w:sz w:val="18"/>
          <w:szCs w:val="18"/>
        </w:rPr>
        <w:t>, 44–55 (2021)</w:t>
      </w:r>
    </w:p>
    <w:p w14:paraId="11340CB1" w14:textId="0B09EE68" w:rsidR="00E4743E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3" w:history="1">
        <w:r w:rsidR="00E4743E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https://link.springer.com/article/10.1007/s42154-020-00130-0</w:t>
        </w:r>
      </w:hyperlink>
      <w:r w:rsidR="00E4743E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70BC867" w14:textId="00C3A5A3" w:rsidR="00E4743E" w:rsidRDefault="00E4743E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E4743E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9</w:t>
      </w:r>
      <w:r w:rsidRPr="00E4743E">
        <w:rPr>
          <w:rFonts w:ascii="Calibri" w:hAnsi="Calibri" w:cs="Calibri"/>
          <w:kern w:val="0"/>
          <w:sz w:val="18"/>
          <w:szCs w:val="18"/>
        </w:rPr>
        <w:t xml:space="preserve">]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Dorsch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 xml:space="preserve">, C., Wang, X. &amp;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Küçükay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>, F.</w:t>
      </w:r>
      <w:r>
        <w:rPr>
          <w:rFonts w:ascii="Calibri" w:hAnsi="Calibri" w:cs="Calibri"/>
          <w:kern w:val="0"/>
          <w:sz w:val="18"/>
          <w:szCs w:val="18"/>
        </w:rPr>
        <w:t>:</w:t>
      </w:r>
      <w:r w:rsidRPr="00E4743E">
        <w:rPr>
          <w:rFonts w:ascii="Calibri" w:hAnsi="Calibri" w:cs="Calibri"/>
          <w:kern w:val="0"/>
          <w:sz w:val="18"/>
          <w:szCs w:val="18"/>
        </w:rPr>
        <w:t xml:space="preserve"> Objective rating of the launch behavior of conventional, hybrid and electric vehicles.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E4743E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E4743E">
        <w:rPr>
          <w:rFonts w:ascii="Calibri" w:hAnsi="Calibri" w:cs="Calibri"/>
          <w:kern w:val="0"/>
          <w:sz w:val="18"/>
          <w:szCs w:val="18"/>
        </w:rPr>
        <w:t xml:space="preserve">. </w:t>
      </w:r>
      <w:r w:rsidRPr="00E4743E">
        <w:rPr>
          <w:rFonts w:ascii="Calibri" w:hAnsi="Calibri" w:cs="Calibri"/>
          <w:b/>
          <w:bCs/>
          <w:kern w:val="0"/>
          <w:sz w:val="18"/>
          <w:szCs w:val="18"/>
        </w:rPr>
        <w:t>4</w:t>
      </w:r>
      <w:r>
        <w:rPr>
          <w:rFonts w:ascii="Calibri" w:hAnsi="Calibri" w:cs="Calibri"/>
          <w:kern w:val="0"/>
          <w:sz w:val="18"/>
          <w:szCs w:val="18"/>
        </w:rPr>
        <w:t>(1)</w:t>
      </w:r>
      <w:r w:rsidRPr="00E4743E">
        <w:rPr>
          <w:rFonts w:ascii="Calibri" w:hAnsi="Calibri" w:cs="Calibri"/>
          <w:kern w:val="0"/>
          <w:sz w:val="18"/>
          <w:szCs w:val="18"/>
        </w:rPr>
        <w:t>, 70–80 (2021)</w:t>
      </w:r>
    </w:p>
    <w:p w14:paraId="240DE85B" w14:textId="1F8B458A" w:rsidR="00E4743E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4" w:history="1">
        <w:r w:rsidR="00E4743E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https://link.springer.com/article/10.1007/s42154-020-00131-z</w:t>
        </w:r>
      </w:hyperlink>
      <w:r w:rsidR="00E4743E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0024DA9" w14:textId="2163F2DF" w:rsidR="00E4743E" w:rsidRPr="00901ABD" w:rsidRDefault="00E4743E" w:rsidP="00E4743E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901ABD">
        <w:rPr>
          <w:rFonts w:ascii="Calibri" w:hAnsi="Calibri" w:cs="Calibri"/>
          <w:kern w:val="0"/>
          <w:sz w:val="18"/>
          <w:szCs w:val="18"/>
        </w:rPr>
        <w:t>[</w:t>
      </w:r>
      <w:r>
        <w:rPr>
          <w:rFonts w:ascii="Calibri" w:hAnsi="Calibri" w:cs="Calibri"/>
          <w:kern w:val="0"/>
          <w:sz w:val="18"/>
          <w:szCs w:val="18"/>
        </w:rPr>
        <w:t>1</w:t>
      </w:r>
      <w:r w:rsidR="00E53474">
        <w:rPr>
          <w:rFonts w:ascii="Calibri" w:hAnsi="Calibri" w:cs="Calibri"/>
          <w:kern w:val="0"/>
          <w:sz w:val="18"/>
          <w:szCs w:val="18"/>
        </w:rPr>
        <w:t>0</w:t>
      </w:r>
      <w:r w:rsidRPr="00901ABD">
        <w:rPr>
          <w:rFonts w:ascii="Calibri" w:hAnsi="Calibri" w:cs="Calibri"/>
          <w:kern w:val="0"/>
          <w:sz w:val="18"/>
          <w:szCs w:val="18"/>
        </w:rPr>
        <w:t xml:space="preserve">] </w:t>
      </w:r>
      <w:r w:rsidR="00417731" w:rsidRPr="00417731">
        <w:rPr>
          <w:rFonts w:ascii="Calibri" w:hAnsi="Calibri" w:cs="Calibri"/>
          <w:kern w:val="0"/>
          <w:sz w:val="18"/>
          <w:szCs w:val="18"/>
        </w:rPr>
        <w:t>Che, Y., Foley, A., El-</w:t>
      </w:r>
      <w:proofErr w:type="spellStart"/>
      <w:r w:rsidR="00417731" w:rsidRPr="00417731">
        <w:rPr>
          <w:rFonts w:ascii="Calibri" w:hAnsi="Calibri" w:cs="Calibri"/>
          <w:kern w:val="0"/>
          <w:sz w:val="18"/>
          <w:szCs w:val="18"/>
        </w:rPr>
        <w:t>Gindy</w:t>
      </w:r>
      <w:proofErr w:type="spellEnd"/>
      <w:r w:rsidR="00417731" w:rsidRPr="00417731">
        <w:rPr>
          <w:rFonts w:ascii="Calibri" w:hAnsi="Calibri" w:cs="Calibri"/>
          <w:kern w:val="0"/>
          <w:sz w:val="18"/>
          <w:szCs w:val="18"/>
        </w:rPr>
        <w:t>, M. et al.</w:t>
      </w:r>
      <w:r w:rsidR="00417731">
        <w:rPr>
          <w:rFonts w:ascii="Calibri" w:hAnsi="Calibri" w:cs="Calibri"/>
          <w:kern w:val="0"/>
          <w:sz w:val="18"/>
          <w:szCs w:val="18"/>
        </w:rPr>
        <w:t>:</w:t>
      </w:r>
      <w:r w:rsidR="00417731" w:rsidRPr="00417731">
        <w:rPr>
          <w:rFonts w:ascii="Calibri" w:hAnsi="Calibri" w:cs="Calibri"/>
          <w:kern w:val="0"/>
          <w:sz w:val="18"/>
          <w:szCs w:val="18"/>
        </w:rPr>
        <w:t xml:space="preserve"> Joint estimation of inconsistency and state of health for series battery packs. </w:t>
      </w:r>
      <w:proofErr w:type="spellStart"/>
      <w:r w:rsidR="00417731" w:rsidRPr="00417731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="00417731" w:rsidRPr="00417731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="00417731" w:rsidRPr="00417731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="00417731" w:rsidRPr="00417731">
        <w:rPr>
          <w:rFonts w:ascii="Calibri" w:hAnsi="Calibri" w:cs="Calibri"/>
          <w:kern w:val="0"/>
          <w:sz w:val="18"/>
          <w:szCs w:val="18"/>
        </w:rPr>
        <w:t xml:space="preserve">. </w:t>
      </w:r>
      <w:r w:rsidR="00417731" w:rsidRPr="00417731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="00417731">
        <w:rPr>
          <w:rFonts w:ascii="Calibri" w:hAnsi="Calibri" w:cs="Calibri"/>
          <w:kern w:val="0"/>
          <w:sz w:val="18"/>
          <w:szCs w:val="18"/>
        </w:rPr>
        <w:t>(1)</w:t>
      </w:r>
      <w:r w:rsidR="00417731" w:rsidRPr="00417731">
        <w:rPr>
          <w:rFonts w:ascii="Calibri" w:hAnsi="Calibri" w:cs="Calibri"/>
          <w:kern w:val="0"/>
          <w:sz w:val="18"/>
          <w:szCs w:val="18"/>
        </w:rPr>
        <w:t>, 103–116 (2021)</w:t>
      </w:r>
    </w:p>
    <w:p w14:paraId="3CF78DA8" w14:textId="1148E2F4" w:rsidR="00E4743E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5" w:history="1">
        <w:r w:rsidR="00E4743E" w:rsidRPr="003A3994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https://link.springer.com/article/10.1007/s42154-020-00128-8</w:t>
        </w:r>
      </w:hyperlink>
      <w:r w:rsidR="00E4743E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9FC46AB" w14:textId="63E76487" w:rsidR="00901ABD" w:rsidRPr="00901ABD" w:rsidRDefault="00901ABD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901ABD">
        <w:rPr>
          <w:rFonts w:ascii="Calibri" w:hAnsi="Calibri" w:cs="Calibri"/>
          <w:kern w:val="0"/>
          <w:sz w:val="18"/>
          <w:szCs w:val="18"/>
        </w:rPr>
        <w:t>[</w:t>
      </w:r>
      <w:r w:rsidR="005A053B">
        <w:rPr>
          <w:rFonts w:ascii="Calibri" w:hAnsi="Calibri" w:cs="Calibri"/>
          <w:kern w:val="0"/>
          <w:sz w:val="18"/>
          <w:szCs w:val="18"/>
        </w:rPr>
        <w:t>1</w:t>
      </w:r>
      <w:r w:rsidR="00E53474">
        <w:rPr>
          <w:rFonts w:ascii="Calibri" w:hAnsi="Calibri" w:cs="Calibri"/>
          <w:kern w:val="0"/>
          <w:sz w:val="18"/>
          <w:szCs w:val="18"/>
        </w:rPr>
        <w:t>1</w:t>
      </w:r>
      <w:r w:rsidRPr="00901ABD">
        <w:rPr>
          <w:rFonts w:ascii="Calibri" w:hAnsi="Calibri" w:cs="Calibri"/>
          <w:kern w:val="0"/>
          <w:sz w:val="18"/>
          <w:szCs w:val="18"/>
        </w:rPr>
        <w:t xml:space="preserve">] Hao, D., Wang, X.B., Zhang, Y.Y., et al.: Experimental study on hydrogen leakage and emission of fuel cell vehicles in confined </w:t>
      </w:r>
      <w:r w:rsidRPr="00901ABD">
        <w:rPr>
          <w:rFonts w:ascii="Calibri" w:hAnsi="Calibri" w:cs="Calibri"/>
          <w:kern w:val="0"/>
          <w:sz w:val="18"/>
          <w:szCs w:val="18"/>
        </w:rPr>
        <w:lastRenderedPageBreak/>
        <w:t xml:space="preserve">spaces. </w:t>
      </w:r>
      <w:proofErr w:type="spellStart"/>
      <w:r w:rsidRPr="00901ABD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901ABD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901ABD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901ABD">
        <w:rPr>
          <w:rFonts w:ascii="Calibri" w:hAnsi="Calibri" w:cs="Calibri"/>
          <w:kern w:val="0"/>
          <w:sz w:val="18"/>
          <w:szCs w:val="18"/>
        </w:rPr>
        <w:t xml:space="preserve">. </w:t>
      </w:r>
      <w:r w:rsidRPr="00C5047F">
        <w:rPr>
          <w:rFonts w:ascii="Calibri" w:hAnsi="Calibri" w:cs="Calibri"/>
          <w:b/>
          <w:bCs/>
          <w:kern w:val="0"/>
          <w:sz w:val="18"/>
          <w:szCs w:val="18"/>
        </w:rPr>
        <w:t>3</w:t>
      </w:r>
      <w:r w:rsidRPr="00901ABD">
        <w:rPr>
          <w:rFonts w:ascii="Calibri" w:hAnsi="Calibri" w:cs="Calibri"/>
          <w:kern w:val="0"/>
          <w:sz w:val="18"/>
          <w:szCs w:val="18"/>
        </w:rPr>
        <w:t>(2): 111–122 (2020)</w:t>
      </w:r>
    </w:p>
    <w:p w14:paraId="2DAB262D" w14:textId="3B4C715C" w:rsidR="00901ABD" w:rsidRDefault="00267DA8" w:rsidP="00901AB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36" w:history="1">
        <w:r w:rsidR="00901ABD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https://link.springer.com/article/10.1007/s42154-020-00096-z</w:t>
        </w:r>
      </w:hyperlink>
      <w:r w:rsidR="00901ABD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C8E101C" w14:textId="420B27FF" w:rsidR="00780681" w:rsidRPr="00AF55D2" w:rsidRDefault="00780681" w:rsidP="00780681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5A053B">
        <w:rPr>
          <w:rFonts w:ascii="Calibri" w:hAnsi="Calibri" w:cs="Calibri"/>
          <w:kern w:val="0"/>
          <w:sz w:val="18"/>
          <w:szCs w:val="18"/>
        </w:rPr>
        <w:t>1</w:t>
      </w:r>
      <w:r w:rsidR="00E53474">
        <w:rPr>
          <w:rFonts w:ascii="Calibri" w:hAnsi="Calibri" w:cs="Calibri"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Qin, Y., Wang, Z., Yuan, K. et al.: Comprehensive analysis and optimization of dynamic vibration-absorbing structures for electric vehicles driven by in-wheel motors.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(4): 254-262 (2019)</w:t>
      </w:r>
    </w:p>
    <w:p w14:paraId="710D0BBD" w14:textId="77777777" w:rsidR="00780681" w:rsidRPr="00AF55D2" w:rsidRDefault="00267DA8" w:rsidP="00780681">
      <w:pPr>
        <w:rPr>
          <w:rStyle w:val="a9"/>
          <w:rFonts w:ascii="Calibri" w:hAnsi="Calibri" w:cs="Calibri"/>
          <w:sz w:val="18"/>
          <w:szCs w:val="18"/>
        </w:rPr>
      </w:pPr>
      <w:hyperlink r:id="rId37" w:history="1">
        <w:r w:rsidR="00780681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https://link.springer.com/article/10.1007/s42154-019-00079-9</w:t>
        </w:r>
      </w:hyperlink>
    </w:p>
    <w:p w14:paraId="1C883E62" w14:textId="5E4B8039" w:rsidR="00780681" w:rsidRPr="00AF55D2" w:rsidRDefault="00780681" w:rsidP="00780681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13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Han, X., Feng, X., Ouyang, M. et al.: A comparative study of charging voltage curve analysis and state of health estimation of lithium-ion batteries in electric vehicle.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(4): 263–275 (2019)</w:t>
      </w:r>
    </w:p>
    <w:p w14:paraId="31CDFEA8" w14:textId="77777777" w:rsidR="00780681" w:rsidRPr="00AF55D2" w:rsidRDefault="00267DA8" w:rsidP="00780681">
      <w:pPr>
        <w:rPr>
          <w:rStyle w:val="a9"/>
          <w:rFonts w:ascii="Calibri" w:hAnsi="Calibri" w:cs="Calibri"/>
          <w:sz w:val="18"/>
          <w:szCs w:val="18"/>
        </w:rPr>
      </w:pPr>
      <w:hyperlink r:id="rId38" w:history="1">
        <w:r w:rsidR="00780681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https://link.springer.com/article/10.1007/s42154-019-00080-2</w:t>
        </w:r>
      </w:hyperlink>
    </w:p>
    <w:p w14:paraId="46AF50B1" w14:textId="0676EE91" w:rsidR="00476451" w:rsidRPr="00AF55D2" w:rsidRDefault="00476451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14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Wang, Y., Zhao, F., Yuan, Y., et al.: Analysis of typical automakers’ strategies for meeting the dual-credit regulations regarding CAFC and NEVs.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(1), 15-23(2018)</w:t>
      </w:r>
    </w:p>
    <w:p w14:paraId="4EB77216" w14:textId="77777777" w:rsidR="00476451" w:rsidRPr="00AF55D2" w:rsidRDefault="00476451" w:rsidP="00476451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kern w:val="0"/>
          <w:sz w:val="18"/>
          <w:szCs w:val="18"/>
        </w:rPr>
        <w:t>https</w:t>
      </w:r>
      <w:r w:rsidRPr="00AF55D2">
        <w:rPr>
          <w:rStyle w:val="a9"/>
          <w:rFonts w:ascii="Calibri" w:hAnsi="Calibri" w:cs="Calibri"/>
          <w:sz w:val="18"/>
          <w:szCs w:val="18"/>
        </w:rPr>
        <w:t>://link.springer.com/article/10.1007/s42154-018-0010-3</w:t>
      </w:r>
    </w:p>
    <w:p w14:paraId="6EA0A363" w14:textId="354D4048" w:rsidR="00476451" w:rsidRPr="00AF55D2" w:rsidRDefault="00476451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15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Qin, D., Li, J., Wang, T., et al.: Modeling and simulating a battery for an electric vehicle based on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Modelica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(3), 169-177 (2019) </w:t>
      </w:r>
    </w:p>
    <w:p w14:paraId="23A8EE4C" w14:textId="77777777" w:rsidR="00476451" w:rsidRPr="00AF55D2" w:rsidRDefault="00267DA8" w:rsidP="00476451">
      <w:pPr>
        <w:rPr>
          <w:rStyle w:val="a9"/>
          <w:rFonts w:ascii="Calibri" w:hAnsi="Calibri" w:cs="Calibri"/>
          <w:kern w:val="0"/>
          <w:sz w:val="18"/>
          <w:szCs w:val="18"/>
        </w:rPr>
      </w:pPr>
      <w:hyperlink r:id="rId39" w:history="1">
        <w:r w:rsidR="00476451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https://link.springer.com/article/10.1007/s42154-019-00066-0</w:t>
        </w:r>
      </w:hyperlink>
    </w:p>
    <w:p w14:paraId="22CAB1A7" w14:textId="378DCB06" w:rsidR="00A73F5D" w:rsidRPr="00AF55D2" w:rsidRDefault="00A73F5D" w:rsidP="00A73F5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16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Lian, Y., Zeng, D., Ye, S., et al.: High-voltage safety improvement design for electric vehicle in rear impact.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(3), 211-225(2018)</w:t>
      </w:r>
    </w:p>
    <w:p w14:paraId="18AA6BCB" w14:textId="3EFF3A8E" w:rsidR="00A73F5D" w:rsidRDefault="001A71F9" w:rsidP="00476451">
      <w:pPr>
        <w:rPr>
          <w:rStyle w:val="a9"/>
          <w:rFonts w:ascii="Calibri" w:hAnsi="Calibri" w:cs="Calibri"/>
          <w:sz w:val="18"/>
          <w:szCs w:val="18"/>
        </w:rPr>
      </w:pPr>
      <w:hyperlink r:id="rId40" w:history="1">
        <w:r w:rsidRPr="00F237E0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https://link.springer.com/article/10.1007/s42154-018-0030-z</w:t>
        </w:r>
      </w:hyperlink>
    </w:p>
    <w:p w14:paraId="41AFC644" w14:textId="090D2493" w:rsidR="001A71F9" w:rsidRPr="001A71F9" w:rsidRDefault="001A71F9" w:rsidP="001A71F9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1A71F9">
        <w:rPr>
          <w:rFonts w:ascii="Calibri" w:hAnsi="Calibri" w:cs="Calibri"/>
          <w:kern w:val="0"/>
          <w:sz w:val="18"/>
          <w:szCs w:val="18"/>
        </w:rPr>
        <w:t>[1</w:t>
      </w:r>
      <w:r>
        <w:rPr>
          <w:rFonts w:ascii="Calibri" w:hAnsi="Calibri" w:cs="Calibri"/>
          <w:kern w:val="0"/>
          <w:sz w:val="18"/>
          <w:szCs w:val="18"/>
        </w:rPr>
        <w:t>7</w:t>
      </w:r>
      <w:r w:rsidRPr="001A71F9">
        <w:rPr>
          <w:rFonts w:ascii="Calibri" w:hAnsi="Calibri" w:cs="Calibri"/>
          <w:kern w:val="0"/>
          <w:sz w:val="18"/>
          <w:szCs w:val="18"/>
        </w:rPr>
        <w:t xml:space="preserve">] Wu, X., Wang, J., Zhang, Y. et al.: Review of DC-DC converter topologies based on impedance network with wide input voltage range and high gain for fuel cell vehicles.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. </w:t>
      </w:r>
      <w:r w:rsidRPr="001A71F9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1A71F9">
        <w:rPr>
          <w:rFonts w:ascii="Calibri" w:hAnsi="Calibri" w:cs="Calibri"/>
          <w:kern w:val="0"/>
          <w:sz w:val="18"/>
          <w:szCs w:val="18"/>
        </w:rPr>
        <w:t>(4), 351–372 (2021)</w:t>
      </w:r>
    </w:p>
    <w:p w14:paraId="400D3D3A" w14:textId="0F55E524" w:rsidR="001A71F9" w:rsidRPr="00D23940" w:rsidRDefault="001A71F9" w:rsidP="001A71F9">
      <w:pPr>
        <w:rPr>
          <w:rStyle w:val="a9"/>
          <w:rFonts w:ascii="Calibri" w:hAnsi="Calibri" w:cs="Calibri" w:hint="eastAsia"/>
          <w:sz w:val="18"/>
          <w:szCs w:val="18"/>
        </w:rPr>
      </w:pPr>
      <w:r w:rsidRPr="001A71F9">
        <w:rPr>
          <w:rStyle w:val="a9"/>
          <w:rFonts w:ascii="Calibri" w:hAnsi="Calibri" w:cs="Calibri"/>
          <w:sz w:val="18"/>
          <w:szCs w:val="18"/>
        </w:rPr>
        <w:t>https://link.springer.com/article/10.1007/s42154-021-00163-z</w:t>
      </w:r>
    </w:p>
    <w:p w14:paraId="5CF60FFA" w14:textId="77777777" w:rsidR="0091141E" w:rsidRPr="00AF55D2" w:rsidRDefault="0091141E" w:rsidP="003C7496">
      <w:pPr>
        <w:pStyle w:val="a7"/>
        <w:numPr>
          <w:ilvl w:val="0"/>
          <w:numId w:val="6"/>
        </w:numPr>
        <w:spacing w:before="360"/>
        <w:ind w:left="357" w:firstLineChars="0" w:hanging="357"/>
        <w:rPr>
          <w:rStyle w:val="articlecitationyear"/>
          <w:rFonts w:ascii="Calibri" w:hAnsi="Calibri" w:cs="Calibri"/>
          <w:b/>
          <w:color w:val="C00000"/>
          <w:sz w:val="18"/>
          <w:szCs w:val="18"/>
        </w:rPr>
      </w:pPr>
      <w:r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>Car Body &amp; Light Weight</w:t>
      </w:r>
    </w:p>
    <w:p w14:paraId="0B4A8ADB" w14:textId="3A192780" w:rsidR="000861E4" w:rsidRPr="000861E4" w:rsidRDefault="000861E4" w:rsidP="000861E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0861E4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</w:t>
      </w:r>
      <w:r w:rsidRPr="000861E4">
        <w:rPr>
          <w:rFonts w:ascii="Calibri" w:hAnsi="Calibri" w:cs="Calibri"/>
          <w:kern w:val="0"/>
          <w:sz w:val="18"/>
          <w:szCs w:val="18"/>
        </w:rPr>
        <w:t xml:space="preserve">] Rosenthal, S., </w:t>
      </w:r>
      <w:proofErr w:type="spellStart"/>
      <w:r w:rsidRPr="000861E4">
        <w:rPr>
          <w:rFonts w:ascii="Calibri" w:hAnsi="Calibri" w:cs="Calibri"/>
          <w:kern w:val="0"/>
          <w:sz w:val="18"/>
          <w:szCs w:val="18"/>
        </w:rPr>
        <w:t>Maaß</w:t>
      </w:r>
      <w:proofErr w:type="spellEnd"/>
      <w:r w:rsidRPr="000861E4">
        <w:rPr>
          <w:rFonts w:ascii="Calibri" w:hAnsi="Calibri" w:cs="Calibri"/>
          <w:kern w:val="0"/>
          <w:sz w:val="18"/>
          <w:szCs w:val="18"/>
        </w:rPr>
        <w:t xml:space="preserve">, F., </w:t>
      </w:r>
      <w:proofErr w:type="spellStart"/>
      <w:r w:rsidRPr="000861E4">
        <w:rPr>
          <w:rFonts w:ascii="Calibri" w:hAnsi="Calibri" w:cs="Calibri"/>
          <w:kern w:val="0"/>
          <w:sz w:val="18"/>
          <w:szCs w:val="18"/>
        </w:rPr>
        <w:t>Kamaliev</w:t>
      </w:r>
      <w:proofErr w:type="spellEnd"/>
      <w:r w:rsidRPr="000861E4">
        <w:rPr>
          <w:rFonts w:ascii="Calibri" w:hAnsi="Calibri" w:cs="Calibri"/>
          <w:kern w:val="0"/>
          <w:sz w:val="18"/>
          <w:szCs w:val="18"/>
        </w:rPr>
        <w:t xml:space="preserve">, M. et al.: Lightweight in automotive components by forming technology. </w:t>
      </w:r>
      <w:proofErr w:type="spellStart"/>
      <w:r w:rsidRPr="000861E4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0861E4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0861E4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0861E4">
        <w:rPr>
          <w:rFonts w:ascii="Calibri" w:hAnsi="Calibri" w:cs="Calibri"/>
          <w:kern w:val="0"/>
          <w:sz w:val="18"/>
          <w:szCs w:val="18"/>
        </w:rPr>
        <w:t>. 3(3), 195–209 (2020)</w:t>
      </w:r>
    </w:p>
    <w:p w14:paraId="42A9EA2C" w14:textId="3D8231A7" w:rsidR="000861E4" w:rsidRDefault="00267DA8" w:rsidP="000861E4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41" w:history="1">
        <w:r w:rsidR="000861E4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https://link.springer.com/article/10.1007/s42154-020-00103-3</w:t>
        </w:r>
      </w:hyperlink>
      <w:r w:rsidR="000861E4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B35F2A7" w14:textId="720D2ADF" w:rsidR="00773815" w:rsidRPr="00773815" w:rsidRDefault="00773815" w:rsidP="0077381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773815">
        <w:rPr>
          <w:rFonts w:ascii="Calibri" w:hAnsi="Calibri" w:cs="Calibri"/>
          <w:kern w:val="0"/>
          <w:sz w:val="18"/>
          <w:szCs w:val="18"/>
        </w:rPr>
        <w:t>[</w:t>
      </w:r>
      <w:r w:rsidR="006E2CA0">
        <w:rPr>
          <w:rFonts w:ascii="Calibri" w:hAnsi="Calibri" w:cs="Calibri"/>
          <w:kern w:val="0"/>
          <w:sz w:val="18"/>
          <w:szCs w:val="18"/>
        </w:rPr>
        <w:t>2</w:t>
      </w:r>
      <w:r w:rsidRPr="00773815">
        <w:rPr>
          <w:rFonts w:ascii="Calibri" w:hAnsi="Calibri" w:cs="Calibri"/>
          <w:kern w:val="0"/>
          <w:sz w:val="18"/>
          <w:szCs w:val="18"/>
        </w:rPr>
        <w:t xml:space="preserve">] Lin, Y., Min, J., Teng, H. et al.: Flexural performance of steel–FRP composites for automotive applications. </w:t>
      </w:r>
      <w:proofErr w:type="spellStart"/>
      <w:r w:rsidRPr="00773815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773815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773815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773815">
        <w:rPr>
          <w:rFonts w:ascii="Calibri" w:hAnsi="Calibri" w:cs="Calibri"/>
          <w:kern w:val="0"/>
          <w:sz w:val="18"/>
          <w:szCs w:val="18"/>
        </w:rPr>
        <w:t>. 3(3), 280–295 (2020)</w:t>
      </w:r>
    </w:p>
    <w:p w14:paraId="46B79827" w14:textId="6A126C05" w:rsidR="00773815" w:rsidRDefault="00267DA8" w:rsidP="00773815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42" w:history="1">
        <w:r w:rsidR="00773815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https://link.springer.com/article/10.1007/s42154-020-00109-x</w:t>
        </w:r>
      </w:hyperlink>
      <w:r w:rsidR="00773815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66CFE3BA" w14:textId="74ED599C" w:rsidR="008E7244" w:rsidRPr="00AF55D2" w:rsidRDefault="008E7244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3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Ma, F., Ying, Z., Wang, G., et al.: Crashworthiness optimization design of thin-walled tube filled with re-entrant triangles honeycombs.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(1), 1-13 (2019)</w:t>
      </w:r>
    </w:p>
    <w:p w14:paraId="506044B7" w14:textId="77777777" w:rsidR="008E7244" w:rsidRPr="00AF55D2" w:rsidRDefault="00267DA8" w:rsidP="008E7244">
      <w:pPr>
        <w:rPr>
          <w:rStyle w:val="articlecitationyear"/>
          <w:rFonts w:ascii="Calibri" w:hAnsi="Calibri" w:cs="Calibri"/>
          <w:kern w:val="0"/>
          <w:sz w:val="18"/>
          <w:szCs w:val="18"/>
        </w:rPr>
      </w:pPr>
      <w:hyperlink r:id="rId43" w:history="1">
        <w:r w:rsidR="008E7244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https://link.springer.com/article/10.1007/s42154-019-00051-7</w:t>
        </w:r>
      </w:hyperlink>
      <w:r w:rsidR="008E7244"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838FAC6" w14:textId="4C6D72DD" w:rsidR="008E7244" w:rsidRPr="00AF55D2" w:rsidRDefault="008E7244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4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Zheng, G., Fan, Z., Zhang, H., et al.: Crashworthiness optimization of steel–magnesium hybrid double-hat-shaped tube.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(3), 247-254 (2018) </w:t>
      </w:r>
    </w:p>
    <w:p w14:paraId="5CF92CAF" w14:textId="77777777" w:rsidR="008E7244" w:rsidRPr="00AF55D2" w:rsidRDefault="008E7244" w:rsidP="008E7244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https://link.springer.com/article/10.1007/s42154-018-0033-9</w:t>
      </w:r>
    </w:p>
    <w:p w14:paraId="5E341C99" w14:textId="2D117BC0" w:rsidR="008929F0" w:rsidRPr="00AF55D2" w:rsidRDefault="008929F0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5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Wang, S., Min, J., Lin, J., et al.: Effect of atmospheric pressure plasma treatment on the lap-shear strength of adhesive-bonded sheet molding compound joints.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(3), 237-246(2018) </w:t>
      </w:r>
    </w:p>
    <w:p w14:paraId="103A106C" w14:textId="419F83A2" w:rsidR="008929F0" w:rsidRDefault="001A71F9" w:rsidP="008929F0">
      <w:pPr>
        <w:rPr>
          <w:rStyle w:val="a9"/>
          <w:rFonts w:ascii="Calibri" w:hAnsi="Calibri" w:cs="Calibri"/>
          <w:sz w:val="18"/>
          <w:szCs w:val="18"/>
        </w:rPr>
      </w:pPr>
      <w:hyperlink r:id="rId44" w:history="1">
        <w:r w:rsidRPr="00F237E0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https://link.springer.com/article/10.1007/s42154-018-0027-7</w:t>
        </w:r>
      </w:hyperlink>
    </w:p>
    <w:p w14:paraId="4AB90326" w14:textId="1A9F0EE6" w:rsidR="001A71F9" w:rsidRPr="001A71F9" w:rsidRDefault="001A71F9" w:rsidP="001A71F9">
      <w:pPr>
        <w:rPr>
          <w:rStyle w:val="a9"/>
        </w:rPr>
      </w:pPr>
      <w:r w:rsidRPr="001A71F9">
        <w:rPr>
          <w:rFonts w:ascii="Calibri" w:hAnsi="Calibri" w:cs="Calibri"/>
          <w:kern w:val="0"/>
          <w:sz w:val="18"/>
          <w:szCs w:val="18"/>
        </w:rPr>
        <w:t>[</w:t>
      </w:r>
      <w:r>
        <w:rPr>
          <w:rFonts w:ascii="Calibri" w:hAnsi="Calibri" w:cs="Calibri"/>
          <w:kern w:val="0"/>
          <w:sz w:val="18"/>
          <w:szCs w:val="18"/>
        </w:rPr>
        <w:t>6</w:t>
      </w:r>
      <w:r w:rsidRPr="001A71F9">
        <w:rPr>
          <w:rFonts w:ascii="Calibri" w:hAnsi="Calibri" w:cs="Calibri"/>
          <w:kern w:val="0"/>
          <w:sz w:val="18"/>
          <w:szCs w:val="18"/>
        </w:rPr>
        <w:t xml:space="preserve">] Li, J., He, H., Wei, Z. et al.: Hierarchical sizing and power distribution strategy for hybrid energy storage system.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>. 4(4), 440–447 (2021)</w:t>
      </w:r>
    </w:p>
    <w:p w14:paraId="36BAAC89" w14:textId="77777777" w:rsidR="001A71F9" w:rsidRPr="001A71F9" w:rsidRDefault="001A71F9" w:rsidP="001A71F9">
      <w:pPr>
        <w:rPr>
          <w:rStyle w:val="a9"/>
          <w:rFonts w:ascii="Calibri" w:hAnsi="Calibri" w:cs="Calibri"/>
          <w:sz w:val="18"/>
          <w:szCs w:val="18"/>
        </w:rPr>
      </w:pPr>
      <w:hyperlink r:id="rId45" w:history="1">
        <w:r w:rsidRPr="001A71F9">
          <w:rPr>
            <w:rStyle w:val="a9"/>
            <w:rFonts w:ascii="Calibri" w:hAnsi="Calibri" w:cs="Calibri"/>
            <w:sz w:val="18"/>
            <w:szCs w:val="18"/>
          </w:rPr>
          <w:t>https://link.springer.com/article/10.1007/s42154-021-00164-y</w:t>
        </w:r>
      </w:hyperlink>
      <w:r w:rsidRPr="001A71F9">
        <w:rPr>
          <w:rStyle w:val="a9"/>
          <w:rFonts w:ascii="Calibri" w:hAnsi="Calibri" w:cs="Calibri"/>
          <w:sz w:val="18"/>
          <w:szCs w:val="18"/>
        </w:rPr>
        <w:t xml:space="preserve"> </w:t>
      </w:r>
    </w:p>
    <w:p w14:paraId="232C0F90" w14:textId="77777777" w:rsidR="001A71F9" w:rsidRPr="00AF55D2" w:rsidRDefault="001A71F9" w:rsidP="008929F0">
      <w:pPr>
        <w:rPr>
          <w:rStyle w:val="a9"/>
          <w:rFonts w:ascii="Calibri" w:hAnsi="Calibri" w:cs="Calibri" w:hint="eastAsia"/>
          <w:sz w:val="18"/>
          <w:szCs w:val="18"/>
        </w:rPr>
      </w:pPr>
    </w:p>
    <w:p w14:paraId="1E94B5DC" w14:textId="77777777" w:rsidR="0091141E" w:rsidRPr="00AF55D2" w:rsidRDefault="00A73F5D" w:rsidP="003C7496">
      <w:pPr>
        <w:pStyle w:val="a7"/>
        <w:numPr>
          <w:ilvl w:val="0"/>
          <w:numId w:val="6"/>
        </w:numPr>
        <w:spacing w:before="360"/>
        <w:ind w:left="357" w:firstLineChars="0" w:hanging="357"/>
        <w:rPr>
          <w:rStyle w:val="articlecitationyear"/>
          <w:rFonts w:ascii="Calibri" w:hAnsi="Calibri" w:cs="Calibri"/>
          <w:b/>
          <w:color w:val="C00000"/>
          <w:sz w:val="18"/>
          <w:szCs w:val="18"/>
        </w:rPr>
      </w:pPr>
      <w:r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lastRenderedPageBreak/>
        <w:t xml:space="preserve">Powertrain, </w:t>
      </w:r>
      <w:r w:rsidR="0091141E"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 xml:space="preserve">Energy-saving and </w:t>
      </w:r>
      <w:r w:rsidR="00CB0DD7"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>Eco-systems</w:t>
      </w:r>
    </w:p>
    <w:p w14:paraId="4AAD372A" w14:textId="12C552B7" w:rsidR="004A13FB" w:rsidRPr="004A13FB" w:rsidRDefault="004A13FB" w:rsidP="004A13F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4A13FB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1</w:t>
      </w:r>
      <w:r w:rsidRPr="004A13FB">
        <w:rPr>
          <w:rFonts w:ascii="Calibri" w:hAnsi="Calibri" w:cs="Calibri"/>
          <w:kern w:val="0"/>
          <w:sz w:val="18"/>
          <w:szCs w:val="18"/>
        </w:rPr>
        <w:t xml:space="preserve">] Li, B.,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Kuo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, H., Wang, X. et al.: Thermal management of electrified propulsion system for low-carbon vehicles.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87733F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4A13FB">
        <w:rPr>
          <w:rFonts w:ascii="Calibri" w:hAnsi="Calibri" w:cs="Calibri"/>
          <w:kern w:val="0"/>
          <w:sz w:val="18"/>
          <w:szCs w:val="18"/>
        </w:rPr>
        <w:t>(3), 299–316 (2020)</w:t>
      </w:r>
    </w:p>
    <w:p w14:paraId="77EB0457" w14:textId="196BF0ED" w:rsidR="004A13FB" w:rsidRDefault="00267DA8" w:rsidP="004A13F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46" w:history="1">
        <w:r w:rsidR="004A13FB" w:rsidRPr="004F720F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https://link.springer.com/article/10.1007/s42154-020-00124-y</w:t>
        </w:r>
      </w:hyperlink>
      <w:r w:rsidR="004A13FB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4A117C5B" w14:textId="3702E16A" w:rsidR="00CB0DD7" w:rsidRPr="00AF55D2" w:rsidRDefault="00CB0DD7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Wu, Z., Zhao, W., Li, Z., et al.: A review of engine fuel injection studies using synchrotron radiation x-ray imaging.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(2), 79-92 (2019) </w:t>
      </w:r>
    </w:p>
    <w:p w14:paraId="1BDC9B2F" w14:textId="77777777" w:rsidR="00CB0DD7" w:rsidRPr="00AF55D2" w:rsidRDefault="00267DA8" w:rsidP="008E7244">
      <w:pPr>
        <w:rPr>
          <w:rFonts w:ascii="Calibri" w:hAnsi="Calibri" w:cs="Calibri"/>
          <w:kern w:val="0"/>
          <w:sz w:val="18"/>
          <w:szCs w:val="18"/>
        </w:rPr>
      </w:pPr>
      <w:hyperlink r:id="rId47" w:history="1">
        <w:r w:rsidR="00CB0DD7" w:rsidRPr="00AF55D2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https://link.springer.com/article/10.1007/s42154-019-00056-2</w:t>
        </w:r>
      </w:hyperlink>
      <w:r w:rsidR="00CB0DD7"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793A11AB" w14:textId="048E7C6C" w:rsidR="008875A0" w:rsidRPr="00AF55D2" w:rsidRDefault="008875A0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3</w:t>
      </w:r>
      <w:r w:rsidRPr="00AF55D2">
        <w:rPr>
          <w:rFonts w:ascii="Calibri" w:hAnsi="Calibri" w:cs="Calibri"/>
          <w:kern w:val="0"/>
          <w:sz w:val="18"/>
          <w:szCs w:val="18"/>
        </w:rPr>
        <w:t>] Li, L., Gong, Y., Deng, J., et al.: CO</w:t>
      </w:r>
      <w:r w:rsidRPr="00AF55D2">
        <w:rPr>
          <w:rFonts w:ascii="Calibri" w:hAnsi="Calibri" w:cs="Calibri"/>
          <w:kern w:val="0"/>
          <w:sz w:val="18"/>
          <w:szCs w:val="18"/>
          <w:vertAlign w:val="subscript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 reduction request and future high-efficiency zero-emission Argon power cycle engine.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(1), 43-53(2018)</w:t>
      </w:r>
    </w:p>
    <w:p w14:paraId="43C4C4C8" w14:textId="77777777" w:rsidR="008875A0" w:rsidRPr="00AF55D2" w:rsidRDefault="008875A0" w:rsidP="007578F6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https://link.springer.com/article/10.1007/s42154-018-0007-y</w:t>
      </w:r>
    </w:p>
    <w:p w14:paraId="6EBE09A4" w14:textId="6947F7B3" w:rsidR="007578F6" w:rsidRPr="00AF55D2" w:rsidRDefault="007578F6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4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Wu, J., Kang, Z., Zhang, Z., et al.: Effects of vessel and water temperatures on direct injection in internal combustion </w:t>
      </w:r>
      <w:r w:rsidR="00474FF6" w:rsidRPr="00AF55D2">
        <w:rPr>
          <w:rFonts w:ascii="Calibri" w:hAnsi="Calibri" w:cs="Calibri"/>
          <w:kern w:val="0"/>
          <w:sz w:val="18"/>
          <w:szCs w:val="18"/>
        </w:rPr>
        <w:t>R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ankine cycle engines.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(4), 331-341(2018)</w:t>
      </w:r>
    </w:p>
    <w:p w14:paraId="0B84C261" w14:textId="77777777" w:rsidR="007578F6" w:rsidRPr="00AF55D2" w:rsidRDefault="00267DA8" w:rsidP="007578F6">
      <w:pPr>
        <w:rPr>
          <w:rStyle w:val="a9"/>
          <w:rFonts w:ascii="Calibri" w:hAnsi="Calibri" w:cs="Calibri"/>
          <w:sz w:val="18"/>
          <w:szCs w:val="18"/>
        </w:rPr>
      </w:pPr>
      <w:hyperlink r:id="rId48" w:history="1">
        <w:r w:rsidR="007578F6" w:rsidRPr="00AF55D2">
          <w:rPr>
            <w:rStyle w:val="a9"/>
            <w:rFonts w:ascii="Calibri" w:hAnsi="Calibri" w:cs="Calibri"/>
            <w:sz w:val="18"/>
            <w:szCs w:val="18"/>
          </w:rPr>
          <w:t>https://link.springer.com/article/10.1007/s42154-018-0046-4</w:t>
        </w:r>
      </w:hyperlink>
    </w:p>
    <w:p w14:paraId="7F21C8FE" w14:textId="08F67E46" w:rsidR="007578F6" w:rsidRPr="00AF55D2" w:rsidRDefault="007578F6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5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Xu, X., Dong, P., Liu, Y., et al.: Progress in automotive transmission technology.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(3), 187-210 (2018) </w:t>
      </w:r>
    </w:p>
    <w:p w14:paraId="4E28BC99" w14:textId="77777777" w:rsidR="007578F6" w:rsidRPr="00AF55D2" w:rsidRDefault="007578F6" w:rsidP="007578F6">
      <w:pPr>
        <w:rPr>
          <w:rFonts w:ascii="Calibri" w:hAnsi="Calibri" w:cs="Calibri"/>
          <w:kern w:val="0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</w:t>
      </w:r>
      <w:r w:rsidRPr="00AF55D2">
        <w:rPr>
          <w:rStyle w:val="a9"/>
          <w:rFonts w:ascii="Calibri" w:hAnsi="Calibri" w:cs="Calibri"/>
          <w:kern w:val="0"/>
          <w:sz w:val="18"/>
          <w:szCs w:val="18"/>
        </w:rPr>
        <w:t>springer</w:t>
      </w:r>
      <w:r w:rsidRPr="00AF55D2">
        <w:rPr>
          <w:rStyle w:val="a9"/>
          <w:rFonts w:ascii="Calibri" w:hAnsi="Calibri" w:cs="Calibri"/>
          <w:sz w:val="18"/>
          <w:szCs w:val="18"/>
        </w:rPr>
        <w:t>.com/article/10.1007/s42154-018-0031-y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BD80B08" w14:textId="7356FAA6" w:rsidR="00DD185B" w:rsidRPr="00AF55D2" w:rsidRDefault="00DD185B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6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Shi, T., Zhao, F., Hao, H, et al.: Development trends of transmissions for hybrid electric vehicles using an optimized energy management strategy.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(4), 291-299(2018)</w:t>
      </w:r>
    </w:p>
    <w:p w14:paraId="7A2BF663" w14:textId="77777777" w:rsidR="00DD185B" w:rsidRPr="00AF55D2" w:rsidRDefault="00DD185B" w:rsidP="007578F6">
      <w:pPr>
        <w:rPr>
          <w:rStyle w:val="a9"/>
          <w:rFonts w:ascii="Calibri" w:hAnsi="Calibri" w:cs="Calibri"/>
          <w:sz w:val="18"/>
          <w:szCs w:val="18"/>
        </w:rPr>
      </w:pPr>
      <w:r w:rsidRPr="00AF55D2">
        <w:rPr>
          <w:rStyle w:val="a9"/>
          <w:rFonts w:ascii="Calibri" w:hAnsi="Calibri" w:cs="Calibri"/>
          <w:sz w:val="18"/>
          <w:szCs w:val="18"/>
        </w:rPr>
        <w:t>https://link.springer.com/article/10.1007/s42154-018-0037-5</w:t>
      </w:r>
    </w:p>
    <w:p w14:paraId="039834EC" w14:textId="6ADAAD7C" w:rsidR="00902BB8" w:rsidRPr="00AF55D2" w:rsidRDefault="00902BB8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7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Liu, J., Li, J., Wang, Y., et al.: Technology development analysis on low carbon for power of heavy-duty commercial vehicle.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(1), 64-70(2019)</w:t>
      </w:r>
    </w:p>
    <w:p w14:paraId="0132E614" w14:textId="77777777" w:rsidR="00902BB8" w:rsidRPr="00AF55D2" w:rsidRDefault="00267DA8" w:rsidP="00902BB8">
      <w:pPr>
        <w:rPr>
          <w:rFonts w:ascii="Calibri" w:hAnsi="Calibri" w:cs="Calibri"/>
          <w:kern w:val="0"/>
          <w:sz w:val="18"/>
          <w:szCs w:val="18"/>
        </w:rPr>
      </w:pPr>
      <w:hyperlink r:id="rId49" w:history="1">
        <w:r w:rsidR="00902BB8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https://link.springer.com/article/10.1007/s42154-019-00054-4</w:t>
        </w:r>
      </w:hyperlink>
      <w:r w:rsidR="00902BB8"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8B1446A" w14:textId="623E5F90" w:rsidR="0039582D" w:rsidRDefault="00A73F5D" w:rsidP="00A73F5D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B86E56">
        <w:rPr>
          <w:rFonts w:ascii="Calibri" w:hAnsi="Calibri" w:cs="Calibri"/>
          <w:kern w:val="0"/>
          <w:sz w:val="18"/>
          <w:szCs w:val="18"/>
        </w:rPr>
        <w:t>8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Huang, K., Yan, Y., Li, B., et al.: A novel design of thermoelectric generator for automotive waste heat recovery.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>(1), 54-61(2018)</w:t>
      </w:r>
    </w:p>
    <w:p w14:paraId="639A645C" w14:textId="77777777" w:rsidR="00AF55D2" w:rsidRPr="00AF55D2" w:rsidRDefault="00AF55D2" w:rsidP="00AF55D2">
      <w:pPr>
        <w:rPr>
          <w:rStyle w:val="a9"/>
        </w:rPr>
      </w:pPr>
      <w:r w:rsidRPr="00AF55D2">
        <w:rPr>
          <w:rStyle w:val="a9"/>
          <w:rFonts w:ascii="Calibri" w:hAnsi="Calibri" w:cs="Calibri" w:hint="eastAsia"/>
          <w:sz w:val="18"/>
          <w:szCs w:val="18"/>
        </w:rPr>
        <w:t>https://link.springer.com/article/10.1007/s42154-018-0006-z</w:t>
      </w:r>
    </w:p>
    <w:p w14:paraId="3508F833" w14:textId="77777777" w:rsidR="0091141E" w:rsidRPr="00AF55D2" w:rsidRDefault="0091141E" w:rsidP="003C7496">
      <w:pPr>
        <w:pStyle w:val="a7"/>
        <w:numPr>
          <w:ilvl w:val="0"/>
          <w:numId w:val="6"/>
        </w:numPr>
        <w:spacing w:before="360"/>
        <w:ind w:left="357" w:firstLineChars="0" w:hanging="357"/>
        <w:rPr>
          <w:rStyle w:val="articlecitationyear"/>
          <w:rFonts w:ascii="Calibri" w:hAnsi="Calibri" w:cs="Calibri"/>
          <w:b/>
          <w:color w:val="C00000"/>
          <w:sz w:val="18"/>
          <w:szCs w:val="18"/>
        </w:rPr>
      </w:pPr>
      <w:r w:rsidRPr="00AF55D2">
        <w:rPr>
          <w:rStyle w:val="articlecitationyear"/>
          <w:rFonts w:ascii="Calibri" w:hAnsi="Calibri" w:cs="Calibri"/>
          <w:b/>
          <w:color w:val="C00000"/>
          <w:sz w:val="18"/>
          <w:szCs w:val="18"/>
        </w:rPr>
        <w:t>O</w:t>
      </w:r>
      <w:r w:rsidRPr="00AF55D2">
        <w:rPr>
          <w:rStyle w:val="articlecitationyear"/>
          <w:rFonts w:ascii="Calibri" w:hAnsi="Calibri" w:cs="Calibri" w:hint="eastAsia"/>
          <w:b/>
          <w:color w:val="C00000"/>
          <w:sz w:val="18"/>
          <w:szCs w:val="18"/>
        </w:rPr>
        <w:t>thers</w:t>
      </w:r>
    </w:p>
    <w:p w14:paraId="3426855C" w14:textId="24182A6D" w:rsidR="00902BB8" w:rsidRPr="00AF55D2" w:rsidRDefault="00902BB8" w:rsidP="003C7496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AF55D2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1</w:t>
      </w:r>
      <w:r w:rsidRPr="00AF55D2">
        <w:rPr>
          <w:rFonts w:ascii="Calibri" w:hAnsi="Calibri" w:cs="Calibri"/>
          <w:kern w:val="0"/>
          <w:sz w:val="18"/>
          <w:szCs w:val="18"/>
        </w:rPr>
        <w:t xml:space="preserve">] Yang, W., Chen, J., Liu, Z., et al: Vibration characteristics of framed SUV cab based on coupled transfer path analysis.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AF55D2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AF55D2">
        <w:rPr>
          <w:rFonts w:ascii="Calibri" w:hAnsi="Calibri" w:cs="Calibri"/>
          <w:kern w:val="0"/>
          <w:sz w:val="18"/>
          <w:szCs w:val="18"/>
        </w:rPr>
        <w:t xml:space="preserve">. </w:t>
      </w:r>
      <w:r w:rsidRPr="00AF55D2">
        <w:rPr>
          <w:rFonts w:ascii="Calibri" w:hAnsi="Calibri" w:cs="Calibri"/>
          <w:b/>
          <w:bCs/>
          <w:kern w:val="0"/>
          <w:sz w:val="18"/>
          <w:szCs w:val="18"/>
        </w:rPr>
        <w:t>2</w:t>
      </w:r>
      <w:r w:rsidRPr="00AF55D2">
        <w:rPr>
          <w:rFonts w:ascii="Calibri" w:hAnsi="Calibri" w:cs="Calibri"/>
          <w:kern w:val="0"/>
          <w:sz w:val="18"/>
          <w:szCs w:val="18"/>
        </w:rPr>
        <w:t>(1) ,26-34(2019)</w:t>
      </w:r>
    </w:p>
    <w:p w14:paraId="44D6E32D" w14:textId="4552269C" w:rsidR="0039582D" w:rsidRDefault="00267DA8" w:rsidP="0039582D">
      <w:pPr>
        <w:rPr>
          <w:rFonts w:ascii="Calibri" w:hAnsi="Calibri" w:cs="Calibri"/>
          <w:kern w:val="0"/>
          <w:sz w:val="18"/>
          <w:szCs w:val="18"/>
        </w:rPr>
      </w:pPr>
      <w:hyperlink r:id="rId50" w:history="1">
        <w:r w:rsidR="00902BB8" w:rsidRPr="00AF55D2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https://link.springer.com/article/10.1007/s42154-019-00049-1</w:t>
        </w:r>
      </w:hyperlink>
      <w:r w:rsidR="00902BB8" w:rsidRPr="00AF55D2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18F68280" w14:textId="4BCF7CD4" w:rsidR="004A13FB" w:rsidRPr="004A13FB" w:rsidRDefault="004A13FB" w:rsidP="004A13F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4A13FB">
        <w:rPr>
          <w:rFonts w:ascii="Calibri" w:hAnsi="Calibri" w:cs="Calibri"/>
          <w:kern w:val="0"/>
          <w:sz w:val="18"/>
          <w:szCs w:val="18"/>
        </w:rPr>
        <w:t>[</w:t>
      </w:r>
      <w:r w:rsidR="00E53474">
        <w:rPr>
          <w:rFonts w:ascii="Calibri" w:hAnsi="Calibri" w:cs="Calibri"/>
          <w:kern w:val="0"/>
          <w:sz w:val="18"/>
          <w:szCs w:val="18"/>
        </w:rPr>
        <w:t>2</w:t>
      </w:r>
      <w:r w:rsidRPr="004A13FB">
        <w:rPr>
          <w:rFonts w:ascii="Calibri" w:hAnsi="Calibri" w:cs="Calibri"/>
          <w:kern w:val="0"/>
          <w:sz w:val="18"/>
          <w:szCs w:val="18"/>
        </w:rPr>
        <w:t xml:space="preserve">] Chen, Y., Yan, Y. &amp; Li, B.: Thermal analyses of power electronics integrated with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vapour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 chamber cooling.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4A13FB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4A13FB">
        <w:rPr>
          <w:rFonts w:ascii="Calibri" w:hAnsi="Calibri" w:cs="Calibri"/>
          <w:kern w:val="0"/>
          <w:sz w:val="18"/>
          <w:szCs w:val="18"/>
        </w:rPr>
        <w:t xml:space="preserve">. </w:t>
      </w:r>
      <w:r w:rsidRPr="0087733F">
        <w:rPr>
          <w:rFonts w:ascii="Calibri" w:hAnsi="Calibri" w:cs="Calibri"/>
          <w:b/>
          <w:bCs/>
          <w:kern w:val="0"/>
          <w:sz w:val="18"/>
          <w:szCs w:val="18"/>
        </w:rPr>
        <w:t>4</w:t>
      </w:r>
      <w:r w:rsidRPr="004A13FB">
        <w:rPr>
          <w:rFonts w:ascii="Calibri" w:hAnsi="Calibri" w:cs="Calibri"/>
          <w:kern w:val="0"/>
          <w:sz w:val="18"/>
          <w:szCs w:val="18"/>
        </w:rPr>
        <w:t>(3), 328–335 (2020)</w:t>
      </w:r>
    </w:p>
    <w:p w14:paraId="7B9FFA32" w14:textId="163A0C21" w:rsidR="004A13FB" w:rsidRDefault="00267DA8" w:rsidP="004A13F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hyperlink r:id="rId51" w:history="1">
        <w:r w:rsidR="004A13FB" w:rsidRPr="0035583E">
          <w:rPr>
            <w:rStyle w:val="a9"/>
            <w:rFonts w:ascii="Calibri" w:hAnsi="Calibri" w:cs="Calibri"/>
            <w:kern w:val="0"/>
            <w:sz w:val="18"/>
            <w:szCs w:val="18"/>
          </w:rPr>
          <w:t>https://link.springer.com/article/10.1007/s42154-020-00123-z</w:t>
        </w:r>
      </w:hyperlink>
      <w:r w:rsidR="004A13FB">
        <w:rPr>
          <w:rFonts w:ascii="Calibri" w:hAnsi="Calibri" w:cs="Calibri"/>
          <w:kern w:val="0"/>
          <w:sz w:val="18"/>
          <w:szCs w:val="18"/>
        </w:rPr>
        <w:t xml:space="preserve"> </w:t>
      </w:r>
    </w:p>
    <w:p w14:paraId="01B32627" w14:textId="77777777" w:rsidR="001A71F9" w:rsidRPr="001A71F9" w:rsidRDefault="001A71F9" w:rsidP="001A71F9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  <w:r w:rsidRPr="001A71F9">
        <w:rPr>
          <w:rFonts w:ascii="Calibri" w:hAnsi="Calibri" w:cs="Calibri"/>
          <w:kern w:val="0"/>
          <w:sz w:val="18"/>
          <w:szCs w:val="18"/>
        </w:rPr>
        <w:t>[3] Yurchenko, N.F., Breed, D.S., Zhang, S.</w:t>
      </w:r>
      <w:r w:rsidRPr="001A71F9">
        <w:rPr>
          <w:rFonts w:ascii="Calibri" w:hAnsi="Calibri" w:cs="Calibri" w:hint="eastAsia"/>
          <w:kern w:val="0"/>
          <w:sz w:val="18"/>
          <w:szCs w:val="18"/>
        </w:rPr>
        <w:t>:</w:t>
      </w:r>
      <w:r w:rsidRPr="001A71F9">
        <w:rPr>
          <w:rFonts w:ascii="Calibri" w:hAnsi="Calibri" w:cs="Calibri"/>
          <w:kern w:val="0"/>
          <w:sz w:val="18"/>
          <w:szCs w:val="18"/>
        </w:rPr>
        <w:t xml:space="preserve"> Design of the airbag inflation system applicable to conventional and autonomous vehicles.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Automot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 xml:space="preserve">. </w:t>
      </w:r>
      <w:proofErr w:type="spellStart"/>
      <w:r w:rsidRPr="001A71F9">
        <w:rPr>
          <w:rFonts w:ascii="Calibri" w:hAnsi="Calibri" w:cs="Calibri"/>
          <w:kern w:val="0"/>
          <w:sz w:val="18"/>
          <w:szCs w:val="18"/>
        </w:rPr>
        <w:t>Innov</w:t>
      </w:r>
      <w:proofErr w:type="spellEnd"/>
      <w:r w:rsidRPr="001A71F9">
        <w:rPr>
          <w:rFonts w:ascii="Calibri" w:hAnsi="Calibri" w:cs="Calibri"/>
          <w:kern w:val="0"/>
          <w:sz w:val="18"/>
          <w:szCs w:val="18"/>
        </w:rPr>
        <w:t>. 4(4</w:t>
      </w:r>
      <w:r w:rsidRPr="001A71F9">
        <w:rPr>
          <w:rFonts w:ascii="Calibri" w:hAnsi="Calibri" w:cs="Calibri" w:hint="eastAsia"/>
          <w:kern w:val="0"/>
          <w:sz w:val="18"/>
          <w:szCs w:val="18"/>
        </w:rPr>
        <w:t>)</w:t>
      </w:r>
      <w:r w:rsidRPr="001A71F9">
        <w:rPr>
          <w:rFonts w:ascii="Calibri" w:hAnsi="Calibri" w:cs="Calibri"/>
          <w:kern w:val="0"/>
          <w:sz w:val="18"/>
          <w:szCs w:val="18"/>
        </w:rPr>
        <w:t>, 390–399 (2021)</w:t>
      </w:r>
    </w:p>
    <w:p w14:paraId="50CB4ACF" w14:textId="36DC28C8" w:rsidR="001A71F9" w:rsidRPr="001A71F9" w:rsidRDefault="001A71F9" w:rsidP="001A71F9">
      <w:pPr>
        <w:rPr>
          <w:rStyle w:val="a9"/>
        </w:rPr>
      </w:pPr>
      <w:hyperlink r:id="rId52" w:history="1">
        <w:r w:rsidRPr="001A71F9">
          <w:rPr>
            <w:rStyle w:val="a9"/>
            <w:kern w:val="0"/>
            <w:sz w:val="18"/>
            <w:szCs w:val="18"/>
          </w:rPr>
          <w:t>https://link.springer.com/article/10.1007/s42154-021-00156-y</w:t>
        </w:r>
      </w:hyperlink>
      <w:r w:rsidRPr="001A71F9">
        <w:rPr>
          <w:rStyle w:val="a9"/>
        </w:rPr>
        <w:t xml:space="preserve">  </w:t>
      </w:r>
    </w:p>
    <w:p w14:paraId="4BF019F7" w14:textId="41E17786" w:rsidR="001A71F9" w:rsidRPr="004A13FB" w:rsidRDefault="001A71F9" w:rsidP="004A13FB">
      <w:pPr>
        <w:spacing w:beforeLines="20" w:before="62"/>
        <w:rPr>
          <w:rFonts w:ascii="Calibri" w:hAnsi="Calibri" w:cs="Calibri"/>
          <w:kern w:val="0"/>
          <w:sz w:val="18"/>
          <w:szCs w:val="18"/>
        </w:rPr>
      </w:pPr>
    </w:p>
    <w:sectPr w:rsidR="001A71F9" w:rsidRPr="004A13FB" w:rsidSect="003F66BA">
      <w:headerReference w:type="default" r:id="rId53"/>
      <w:footerReference w:type="default" r:id="rId54"/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32AB" w14:textId="77777777" w:rsidR="00267DA8" w:rsidRDefault="00267DA8" w:rsidP="004854CB">
      <w:r>
        <w:separator/>
      </w:r>
    </w:p>
  </w:endnote>
  <w:endnote w:type="continuationSeparator" w:id="0">
    <w:p w14:paraId="664588DE" w14:textId="77777777" w:rsidR="00267DA8" w:rsidRDefault="00267DA8" w:rsidP="0048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DDF6" w14:textId="77777777" w:rsidR="00780681" w:rsidRDefault="00780681">
    <w:pPr>
      <w:pStyle w:val="a5"/>
    </w:pPr>
    <w:r w:rsidRPr="00E235AC">
      <w:rPr>
        <w:noProof/>
      </w:rPr>
      <w:drawing>
        <wp:anchor distT="0" distB="0" distL="114300" distR="114300" simplePos="0" relativeHeight="251659264" behindDoc="0" locked="0" layoutInCell="1" allowOverlap="1" wp14:anchorId="2BAED3D7" wp14:editId="6D019FFE">
          <wp:simplePos x="0" y="0"/>
          <wp:positionH relativeFrom="page">
            <wp:posOffset>7620</wp:posOffset>
          </wp:positionH>
          <wp:positionV relativeFrom="paragraph">
            <wp:posOffset>100492</wp:posOffset>
          </wp:positionV>
          <wp:extent cx="7560000" cy="604800"/>
          <wp:effectExtent l="0" t="0" r="3175" b="5080"/>
          <wp:wrapNone/>
          <wp:docPr id="3" name="图片 3" descr="D:\2018\汽车工程\宣传\学会logo\英文期刊logo\杂志logo final\底边条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汽车工程\宣传\学会logo\英文期刊logo\杂志logo final\底边条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23" t="18200" r="15884" b="35316"/>
                  <a:stretch/>
                </pic:blipFill>
                <pic:spPr bwMode="auto">
                  <a:xfrm>
                    <a:off x="0" y="0"/>
                    <a:ext cx="75600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6CE0" w14:textId="77777777" w:rsidR="00267DA8" w:rsidRDefault="00267DA8" w:rsidP="004854CB">
      <w:r>
        <w:separator/>
      </w:r>
    </w:p>
  </w:footnote>
  <w:footnote w:type="continuationSeparator" w:id="0">
    <w:p w14:paraId="0AA08700" w14:textId="77777777" w:rsidR="00267DA8" w:rsidRDefault="00267DA8" w:rsidP="0048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8A04" w14:textId="77777777" w:rsidR="00780681" w:rsidRDefault="00780681" w:rsidP="00424D3B">
    <w:r>
      <w:rPr>
        <w:noProof/>
      </w:rPr>
      <w:drawing>
        <wp:anchor distT="0" distB="0" distL="114300" distR="114300" simplePos="0" relativeHeight="251658240" behindDoc="0" locked="0" layoutInCell="1" allowOverlap="1" wp14:anchorId="7CDFEA10" wp14:editId="352370E5">
          <wp:simplePos x="0" y="0"/>
          <wp:positionH relativeFrom="margin">
            <wp:posOffset>4679950</wp:posOffset>
          </wp:positionH>
          <wp:positionV relativeFrom="paragraph">
            <wp:posOffset>-231140</wp:posOffset>
          </wp:positionV>
          <wp:extent cx="1647825" cy="549275"/>
          <wp:effectExtent l="0" t="0" r="9525" b="317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杂志logo-02fin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22" t="31460" r="11329" b="33305"/>
                  <a:stretch/>
                </pic:blipFill>
                <pic:spPr bwMode="auto">
                  <a:xfrm>
                    <a:off x="0" y="0"/>
                    <a:ext cx="1647825" cy="54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492D"/>
    <w:multiLevelType w:val="hybridMultilevel"/>
    <w:tmpl w:val="00F2A834"/>
    <w:lvl w:ilvl="0" w:tplc="FCA4E772">
      <w:start w:val="1"/>
      <w:numFmt w:val="bullet"/>
      <w:lvlText w:val="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19212FD8"/>
    <w:multiLevelType w:val="hybridMultilevel"/>
    <w:tmpl w:val="01E2A716"/>
    <w:lvl w:ilvl="0" w:tplc="A51A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9C961D2"/>
    <w:multiLevelType w:val="hybridMultilevel"/>
    <w:tmpl w:val="3752903A"/>
    <w:lvl w:ilvl="0" w:tplc="EFD8ED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3C66FC"/>
    <w:multiLevelType w:val="hybridMultilevel"/>
    <w:tmpl w:val="F8A80028"/>
    <w:lvl w:ilvl="0" w:tplc="FCA4E772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4A4A8F"/>
    <w:multiLevelType w:val="hybridMultilevel"/>
    <w:tmpl w:val="21701F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807A08"/>
    <w:multiLevelType w:val="hybridMultilevel"/>
    <w:tmpl w:val="4EC673A8"/>
    <w:lvl w:ilvl="0" w:tplc="44D87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1NTM2sDAzNLE0MzVR0lEKTi0uzszPAykwrgUAmhAPiCwAAAA="/>
  </w:docVars>
  <w:rsids>
    <w:rsidRoot w:val="004854CB"/>
    <w:rsid w:val="000515A3"/>
    <w:rsid w:val="000551A5"/>
    <w:rsid w:val="00061281"/>
    <w:rsid w:val="00082171"/>
    <w:rsid w:val="000861E4"/>
    <w:rsid w:val="000B04C2"/>
    <w:rsid w:val="000D0B3C"/>
    <w:rsid w:val="000D1CF1"/>
    <w:rsid w:val="000D33CF"/>
    <w:rsid w:val="000D3CF3"/>
    <w:rsid w:val="000E48F0"/>
    <w:rsid w:val="001034CE"/>
    <w:rsid w:val="00105E2D"/>
    <w:rsid w:val="00113833"/>
    <w:rsid w:val="0011751B"/>
    <w:rsid w:val="001337C5"/>
    <w:rsid w:val="00176943"/>
    <w:rsid w:val="001A41E6"/>
    <w:rsid w:val="001A71F9"/>
    <w:rsid w:val="001B0A05"/>
    <w:rsid w:val="001B24F6"/>
    <w:rsid w:val="001C6663"/>
    <w:rsid w:val="001D67E0"/>
    <w:rsid w:val="001D72B5"/>
    <w:rsid w:val="00210C33"/>
    <w:rsid w:val="002142D5"/>
    <w:rsid w:val="00252C23"/>
    <w:rsid w:val="00260EDA"/>
    <w:rsid w:val="00263E32"/>
    <w:rsid w:val="00267DA8"/>
    <w:rsid w:val="00294411"/>
    <w:rsid w:val="002A176D"/>
    <w:rsid w:val="002B000E"/>
    <w:rsid w:val="002F0262"/>
    <w:rsid w:val="0030606D"/>
    <w:rsid w:val="00312FDA"/>
    <w:rsid w:val="00381130"/>
    <w:rsid w:val="0039582D"/>
    <w:rsid w:val="003A2181"/>
    <w:rsid w:val="003B1E0D"/>
    <w:rsid w:val="003B6A50"/>
    <w:rsid w:val="003C7496"/>
    <w:rsid w:val="003F66BA"/>
    <w:rsid w:val="003F6FBB"/>
    <w:rsid w:val="003F7B5A"/>
    <w:rsid w:val="0040413A"/>
    <w:rsid w:val="00417731"/>
    <w:rsid w:val="00422362"/>
    <w:rsid w:val="00423B35"/>
    <w:rsid w:val="00424D3B"/>
    <w:rsid w:val="004312F0"/>
    <w:rsid w:val="00453D67"/>
    <w:rsid w:val="00453E31"/>
    <w:rsid w:val="0046129D"/>
    <w:rsid w:val="00474FF6"/>
    <w:rsid w:val="00476451"/>
    <w:rsid w:val="00483135"/>
    <w:rsid w:val="004854CB"/>
    <w:rsid w:val="00497419"/>
    <w:rsid w:val="004A13FB"/>
    <w:rsid w:val="004A7234"/>
    <w:rsid w:val="004B4A38"/>
    <w:rsid w:val="004C79F6"/>
    <w:rsid w:val="004D63F7"/>
    <w:rsid w:val="004E4B4B"/>
    <w:rsid w:val="004F1CE1"/>
    <w:rsid w:val="00520C01"/>
    <w:rsid w:val="005325BF"/>
    <w:rsid w:val="00550A9E"/>
    <w:rsid w:val="005A053B"/>
    <w:rsid w:val="005C2B42"/>
    <w:rsid w:val="005D51FD"/>
    <w:rsid w:val="005F16A8"/>
    <w:rsid w:val="005F4642"/>
    <w:rsid w:val="00601F83"/>
    <w:rsid w:val="00606CF3"/>
    <w:rsid w:val="00607FCD"/>
    <w:rsid w:val="00614B87"/>
    <w:rsid w:val="00655A97"/>
    <w:rsid w:val="00663AC7"/>
    <w:rsid w:val="00677063"/>
    <w:rsid w:val="00692C0C"/>
    <w:rsid w:val="006D464D"/>
    <w:rsid w:val="006D7050"/>
    <w:rsid w:val="006E2CA0"/>
    <w:rsid w:val="007055A4"/>
    <w:rsid w:val="0073352B"/>
    <w:rsid w:val="00742A0A"/>
    <w:rsid w:val="007444CB"/>
    <w:rsid w:val="00744C30"/>
    <w:rsid w:val="0075255D"/>
    <w:rsid w:val="007578F6"/>
    <w:rsid w:val="00761F04"/>
    <w:rsid w:val="00773815"/>
    <w:rsid w:val="00780681"/>
    <w:rsid w:val="007934FB"/>
    <w:rsid w:val="007973BD"/>
    <w:rsid w:val="007A2854"/>
    <w:rsid w:val="007A4976"/>
    <w:rsid w:val="007B0132"/>
    <w:rsid w:val="007C1E7D"/>
    <w:rsid w:val="007D0478"/>
    <w:rsid w:val="007D53CB"/>
    <w:rsid w:val="008207E1"/>
    <w:rsid w:val="008307E9"/>
    <w:rsid w:val="008342FA"/>
    <w:rsid w:val="00871AF6"/>
    <w:rsid w:val="0087733F"/>
    <w:rsid w:val="008875A0"/>
    <w:rsid w:val="008929F0"/>
    <w:rsid w:val="00897354"/>
    <w:rsid w:val="008E4D68"/>
    <w:rsid w:val="008E52B1"/>
    <w:rsid w:val="008E7244"/>
    <w:rsid w:val="00901ABD"/>
    <w:rsid w:val="00902BB8"/>
    <w:rsid w:val="00905AB1"/>
    <w:rsid w:val="00905B72"/>
    <w:rsid w:val="0091141E"/>
    <w:rsid w:val="00921372"/>
    <w:rsid w:val="0095317B"/>
    <w:rsid w:val="00960E02"/>
    <w:rsid w:val="00981015"/>
    <w:rsid w:val="009A1538"/>
    <w:rsid w:val="009A5497"/>
    <w:rsid w:val="009A657D"/>
    <w:rsid w:val="009A7348"/>
    <w:rsid w:val="009B3CFD"/>
    <w:rsid w:val="009E0699"/>
    <w:rsid w:val="00A15830"/>
    <w:rsid w:val="00A1594D"/>
    <w:rsid w:val="00A26019"/>
    <w:rsid w:val="00A5301E"/>
    <w:rsid w:val="00A65C6A"/>
    <w:rsid w:val="00A73F5D"/>
    <w:rsid w:val="00A850AD"/>
    <w:rsid w:val="00A94B2A"/>
    <w:rsid w:val="00A96008"/>
    <w:rsid w:val="00AA53B8"/>
    <w:rsid w:val="00AB6B28"/>
    <w:rsid w:val="00AD3143"/>
    <w:rsid w:val="00AF55D2"/>
    <w:rsid w:val="00B11196"/>
    <w:rsid w:val="00B11DD2"/>
    <w:rsid w:val="00B30609"/>
    <w:rsid w:val="00B44419"/>
    <w:rsid w:val="00B50F09"/>
    <w:rsid w:val="00B86E56"/>
    <w:rsid w:val="00BB0D1A"/>
    <w:rsid w:val="00BE71CD"/>
    <w:rsid w:val="00C5047F"/>
    <w:rsid w:val="00C63739"/>
    <w:rsid w:val="00C67613"/>
    <w:rsid w:val="00C765D4"/>
    <w:rsid w:val="00C7710C"/>
    <w:rsid w:val="00C86281"/>
    <w:rsid w:val="00C920FD"/>
    <w:rsid w:val="00C92E10"/>
    <w:rsid w:val="00C978FF"/>
    <w:rsid w:val="00CB0DD7"/>
    <w:rsid w:val="00CC3E55"/>
    <w:rsid w:val="00CE7228"/>
    <w:rsid w:val="00D150C4"/>
    <w:rsid w:val="00D219CB"/>
    <w:rsid w:val="00D2253A"/>
    <w:rsid w:val="00D23940"/>
    <w:rsid w:val="00D25FE6"/>
    <w:rsid w:val="00D7692A"/>
    <w:rsid w:val="00D831B3"/>
    <w:rsid w:val="00DC59B2"/>
    <w:rsid w:val="00DD185B"/>
    <w:rsid w:val="00E235AC"/>
    <w:rsid w:val="00E23930"/>
    <w:rsid w:val="00E27725"/>
    <w:rsid w:val="00E4743E"/>
    <w:rsid w:val="00E51542"/>
    <w:rsid w:val="00E53474"/>
    <w:rsid w:val="00E53A02"/>
    <w:rsid w:val="00E76548"/>
    <w:rsid w:val="00EA36A0"/>
    <w:rsid w:val="00EA4A42"/>
    <w:rsid w:val="00EB7754"/>
    <w:rsid w:val="00EC2E76"/>
    <w:rsid w:val="00EF67C7"/>
    <w:rsid w:val="00F2792C"/>
    <w:rsid w:val="00F45D70"/>
    <w:rsid w:val="00F73AB8"/>
    <w:rsid w:val="00F743C7"/>
    <w:rsid w:val="00F76C92"/>
    <w:rsid w:val="00F77F82"/>
    <w:rsid w:val="00F77FE2"/>
    <w:rsid w:val="00FB7006"/>
    <w:rsid w:val="00FC0EBE"/>
    <w:rsid w:val="00FE039F"/>
    <w:rsid w:val="00FE79C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FAF5D"/>
  <w15:docId w15:val="{BD3CEEA7-B77B-47C4-ADEB-5AE5A52F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4CB"/>
    <w:rPr>
      <w:sz w:val="18"/>
      <w:szCs w:val="18"/>
    </w:rPr>
  </w:style>
  <w:style w:type="paragraph" w:styleId="a7">
    <w:name w:val="List Paragraph"/>
    <w:basedOn w:val="a"/>
    <w:qFormat/>
    <w:rsid w:val="00FB7006"/>
    <w:pPr>
      <w:ind w:firstLineChars="200" w:firstLine="420"/>
    </w:pPr>
  </w:style>
  <w:style w:type="character" w:customStyle="1" w:styleId="articlecitationyear">
    <w:name w:val="articlecitation_year"/>
    <w:basedOn w:val="a0"/>
    <w:rsid w:val="00606CF3"/>
  </w:style>
  <w:style w:type="character" w:customStyle="1" w:styleId="articlecitationvolume">
    <w:name w:val="articlecitation_volume"/>
    <w:basedOn w:val="a0"/>
    <w:rsid w:val="00606CF3"/>
  </w:style>
  <w:style w:type="character" w:styleId="a8">
    <w:name w:val="Strong"/>
    <w:basedOn w:val="a0"/>
    <w:uiPriority w:val="22"/>
    <w:qFormat/>
    <w:rsid w:val="00C7710C"/>
    <w:rPr>
      <w:b/>
      <w:bCs/>
    </w:rPr>
  </w:style>
  <w:style w:type="character" w:styleId="a9">
    <w:name w:val="Hyperlink"/>
    <w:basedOn w:val="a0"/>
    <w:uiPriority w:val="99"/>
    <w:unhideWhenUsed/>
    <w:rsid w:val="00FE79C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FE79C4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92E1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7654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76548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337C5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qFormat/>
    <w:rsid w:val="001337C5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133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springer.com/article/10.1007/s42154-019-00087-9" TargetMode="External"/><Relationship Id="rId18" Type="http://schemas.openxmlformats.org/officeDocument/2006/relationships/hyperlink" Target="https://link.springer.com/article/10.1007/s42154-018-0036-6" TargetMode="External"/><Relationship Id="rId26" Type="http://schemas.openxmlformats.org/officeDocument/2006/relationships/hyperlink" Target="https://link.springer.com/article/10.1007/s42154-021-00149-x" TargetMode="External"/><Relationship Id="rId39" Type="http://schemas.openxmlformats.org/officeDocument/2006/relationships/hyperlink" Target="https://link.springer.com/article/10.1007/s42154-019-00066-0" TargetMode="External"/><Relationship Id="rId21" Type="http://schemas.openxmlformats.org/officeDocument/2006/relationships/hyperlink" Target="https://link.springer.com/article/10.1007/s42154-021-00140-6" TargetMode="External"/><Relationship Id="rId34" Type="http://schemas.openxmlformats.org/officeDocument/2006/relationships/hyperlink" Target="https://link.springer.com/article/10.1007/s42154-020-00131-z" TargetMode="External"/><Relationship Id="rId42" Type="http://schemas.openxmlformats.org/officeDocument/2006/relationships/hyperlink" Target="https://link.springer.com/article/10.1007/s42154-020-00109-x" TargetMode="External"/><Relationship Id="rId47" Type="http://schemas.openxmlformats.org/officeDocument/2006/relationships/hyperlink" Target="https://link.springer.com/article/10.1007/s42154-019-00056-2" TargetMode="External"/><Relationship Id="rId50" Type="http://schemas.openxmlformats.org/officeDocument/2006/relationships/hyperlink" Target="https://link.springer.com/article/10.1007/s42154-019-00049-1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link.springer.com/article/10.1007/s42154-020-00088-z" TargetMode="External"/><Relationship Id="rId17" Type="http://schemas.openxmlformats.org/officeDocument/2006/relationships/hyperlink" Target="https://link.springer.com/article/10.1007/s42154-019-00060-6" TargetMode="External"/><Relationship Id="rId25" Type="http://schemas.openxmlformats.org/officeDocument/2006/relationships/hyperlink" Target="https://link.springer.com/article/10.1007/s42154-021-00161-1" TargetMode="External"/><Relationship Id="rId33" Type="http://schemas.openxmlformats.org/officeDocument/2006/relationships/hyperlink" Target="https://link.springer.com/article/10.1007/s42154-020-00130-0" TargetMode="External"/><Relationship Id="rId38" Type="http://schemas.openxmlformats.org/officeDocument/2006/relationships/hyperlink" Target="https://link.springer.com/article/10.1007/s42154-019-00080-2" TargetMode="External"/><Relationship Id="rId46" Type="http://schemas.openxmlformats.org/officeDocument/2006/relationships/hyperlink" Target="https://link.springer.com/article/10.1007/s42154-020-00124-y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nk.springer.com/article/10.1007/s42154-019-00073-1" TargetMode="External"/><Relationship Id="rId20" Type="http://schemas.openxmlformats.org/officeDocument/2006/relationships/hyperlink" Target="https://link.springer.com/article/10.1007/s42154-021-00154-0" TargetMode="External"/><Relationship Id="rId29" Type="http://schemas.openxmlformats.org/officeDocument/2006/relationships/hyperlink" Target="https://link.springer.com/article/10.1007/s42154-020-00133-x" TargetMode="External"/><Relationship Id="rId41" Type="http://schemas.openxmlformats.org/officeDocument/2006/relationships/hyperlink" Target="https://link.springer.com/article/10.1007/s42154-020-00103-3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springer.com/article/10.1007/s42154-020-00090-5" TargetMode="External"/><Relationship Id="rId24" Type="http://schemas.openxmlformats.org/officeDocument/2006/relationships/hyperlink" Target="https://link.springer.com/article/10.1007/s42154-021-00151-3" TargetMode="External"/><Relationship Id="rId32" Type="http://schemas.openxmlformats.org/officeDocument/2006/relationships/hyperlink" Target="https://link.springer.com/article/10.1007/s42154-020-00129-7" TargetMode="External"/><Relationship Id="rId37" Type="http://schemas.openxmlformats.org/officeDocument/2006/relationships/hyperlink" Target="https://link.springer.com/article/10.1007/s42154-019-00079-9" TargetMode="External"/><Relationship Id="rId40" Type="http://schemas.openxmlformats.org/officeDocument/2006/relationships/hyperlink" Target="https://link.springer.com/article/10.1007/s42154-018-0030-z" TargetMode="External"/><Relationship Id="rId45" Type="http://schemas.openxmlformats.org/officeDocument/2006/relationships/hyperlink" Target="https://link.springer.com/article/10.1007/s42154-021-00164-y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ink.springer.com/article/10.1007/s42154-018-0034-8" TargetMode="External"/><Relationship Id="rId23" Type="http://schemas.openxmlformats.org/officeDocument/2006/relationships/hyperlink" Target="https://link.springer.com/article/10.1007/s42154-021-00138-0" TargetMode="External"/><Relationship Id="rId28" Type="http://schemas.openxmlformats.org/officeDocument/2006/relationships/hyperlink" Target="https://link.springer.com/article/10.1007/s42154-021-00148-y" TargetMode="External"/><Relationship Id="rId36" Type="http://schemas.openxmlformats.org/officeDocument/2006/relationships/hyperlink" Target="https://link.springer.com/article/10.1007/s42154-020-00096-z" TargetMode="External"/><Relationship Id="rId49" Type="http://schemas.openxmlformats.org/officeDocument/2006/relationships/hyperlink" Target="https://link.springer.com/article/10.1007/s42154-019-00054-4" TargetMode="External"/><Relationship Id="rId10" Type="http://schemas.openxmlformats.org/officeDocument/2006/relationships/hyperlink" Target="https://link.springer.com/article/10.1007/s42154-019-00085-x" TargetMode="External"/><Relationship Id="rId19" Type="http://schemas.openxmlformats.org/officeDocument/2006/relationships/hyperlink" Target="https://link.springer.com/article/10.1007/s42154-019-00064-2" TargetMode="External"/><Relationship Id="rId31" Type="http://schemas.openxmlformats.org/officeDocument/2006/relationships/hyperlink" Target="https://link.springer.com/article/10.1007/s42154-020-00126-w" TargetMode="External"/><Relationship Id="rId44" Type="http://schemas.openxmlformats.org/officeDocument/2006/relationships/hyperlink" Target="https://link.springer.com/article/10.1007/s42154-018-0027-7" TargetMode="External"/><Relationship Id="rId52" Type="http://schemas.openxmlformats.org/officeDocument/2006/relationships/hyperlink" Target="https://link.springer.com/article/10.1007/s42154-021-00156-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article/10.1007/s42154-019-00086-w" TargetMode="External"/><Relationship Id="rId14" Type="http://schemas.openxmlformats.org/officeDocument/2006/relationships/hyperlink" Target="https://link.springer.com/article/10.1007/s42154-020-00102-4" TargetMode="External"/><Relationship Id="rId22" Type="http://schemas.openxmlformats.org/officeDocument/2006/relationships/hyperlink" Target="https://link.springer.com/article/10.1007/s42154-021-00152-2" TargetMode="External"/><Relationship Id="rId27" Type="http://schemas.openxmlformats.org/officeDocument/2006/relationships/hyperlink" Target="https://link.springer.com/article/10.1007/s42154-021-00146-0" TargetMode="External"/><Relationship Id="rId30" Type="http://schemas.openxmlformats.org/officeDocument/2006/relationships/hyperlink" Target="https://link.springer.com/article/10.1007/s42154-021-00139-z" TargetMode="External"/><Relationship Id="rId35" Type="http://schemas.openxmlformats.org/officeDocument/2006/relationships/hyperlink" Target="https://link.springer.com/article/10.1007/s42154-020-00128-8" TargetMode="External"/><Relationship Id="rId43" Type="http://schemas.openxmlformats.org/officeDocument/2006/relationships/hyperlink" Target="https://link.springer.com/article/10.1007/s42154-019-00051-7" TargetMode="External"/><Relationship Id="rId48" Type="http://schemas.openxmlformats.org/officeDocument/2006/relationships/hyperlink" Target="https://link.springer.com/article/10.1007/s42154-018-0046-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springer.com/42154" TargetMode="External"/><Relationship Id="rId51" Type="http://schemas.openxmlformats.org/officeDocument/2006/relationships/hyperlink" Target="https://link.springer.com/article/10.1007/s42154-020-00123-z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2517</Words>
  <Characters>14350</Characters>
  <Application>Microsoft Office Word</Application>
  <DocSecurity>0</DocSecurity>
  <Lines>119</Lines>
  <Paragraphs>33</Paragraphs>
  <ScaleCrop>false</ScaleCrop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陆俐丽</dc:creator>
  <cp:keywords/>
  <dc:description/>
  <cp:lastModifiedBy>LI Dong</cp:lastModifiedBy>
  <cp:revision>23</cp:revision>
  <cp:lastPrinted>2019-12-18T07:26:00Z</cp:lastPrinted>
  <dcterms:created xsi:type="dcterms:W3CDTF">2020-02-25T10:36:00Z</dcterms:created>
  <dcterms:modified xsi:type="dcterms:W3CDTF">2021-11-19T06:44:00Z</dcterms:modified>
</cp:coreProperties>
</file>